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31AD15" Type="http://schemas.openxmlformats.org/officeDocument/2006/relationships/officeDocument" Target="/word/document.xml" /><Relationship Id="coreR2C31AD15" Type="http://schemas.openxmlformats.org/package/2006/relationships/metadata/core-properties" Target="/docProps/core.xml" /><Relationship Id="customR2C31AD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mistr (kód: 28-028-M)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technik; Keramický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keramické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dokumentace keramické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keramické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preventivních prohlídek a oprav strojů a zařízení pro keramickou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Koordinace průběhu a vazeb výrobních činností v keramické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technologického úseku keramické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a motivování zaměstnanců v keramické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keramické výroby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Sestavování operativních plánů keramické výroby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30.06.2012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http://katalog.nsp.cz/karta_p.aspx?id_jp=7340&amp;kod_sm1=35.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vybere typ/typy nebo druh/druhy výrobku z oblastí keramické výroby podle klasifikace CZ-NACE: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23.2 Výroba žáruvzdorných výrobků 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23.3 Výroba stavebních výrobků z jílovitých materiálů 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23.4 Výroba ostatních porcelánových a keramických výrobků 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předem písemně připraví modelové situace z provozu v návaznosti na ověřované kompetence. 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Doporučujeme, aby uchazeč měl ukončené střední vzdělání s výučním listem nebo střední vzdělání s maturitní zkouškou.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k dispozici PC s nainstalovaným kancelářským SW Microsoft Office, obsahující textový editor WORD, tabulkový procesor Excel a Power Point a bude s jeho pomocí zpracovávat úkoly ověřující tyto kompetence: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operativních plánů keramické výroby, kritérium 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P-D Refractories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Justa-znalecká a konzultační činnost v oboru stavební keramiky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