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4FD24" Type="http://schemas.openxmlformats.org/officeDocument/2006/relationships/officeDocument" Target="/word/document.xml" /><Relationship Id="coreR5704FD24" Type="http://schemas.openxmlformats.org/package/2006/relationships/metadata/core-properties" Target="/docProps/core.xml" /><Relationship Id="customR5704FD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technik; 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keramické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preventivních prohlídek a oprav strojů a zařízení pro keramickou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Koordinace průběhu a vazeb výrobních činností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technologického úseku keramické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a motivování zaměstnanců v keramické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keramické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Sestavování operativních plánů keramické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30.06.2012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http://katalog.nsp.cz/karta_p.aspx?id_jp=7340&amp;kod_sm1=35.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typ/typy nebo druh/druhy výrobku z oblastí keramické výroby podle klasifikace CZ-NACE: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23.2 Výroba žáruvzdorných výrobků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23.3 Výroba stavebních výrobků z jílovitých materiálů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23.4 Výroba ostatních porcelánových a keramických výrobků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předem písemně připraví modelové situace z provozu v návaznosti na ověřované kompetence. 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uchazeč měl ukončené střední vzdělání s výučním listem nebo střední vzdělání s maturitní zkouškou.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s nainstalovaným kancelářským SW Microsoft Office, obsahující textový editor WORD, tabulkový procesor Excel a Power Point a bude s jeho pomocí zpracovávat úkoly ověřující tyto kompetence: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keramické výroby, kritérium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P-D Refractories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Justa-znalecká a konzultační činnost v oboru stavební keramiky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