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4B2C8D" Type="http://schemas.openxmlformats.org/officeDocument/2006/relationships/officeDocument" Target="/word/document.xml" /><Relationship Id="coreR84B2C8D" Type="http://schemas.openxmlformats.org/package/2006/relationships/metadata/core-properties" Target="/docProps/core.xml" /><Relationship Id="customR84B2C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mistr (kód: 28-028-M)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keramické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podkladů pro odměňování pracovníků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preventivních prohlídek a oprav strojů a zařízení pro keramickou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keramické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technologického úseku keramické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a motivování zaměstnanců v keramické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https://www.nsp.cz/jednotka-prace/keramicky-technik-mistr#zdravotni-zpusobilost).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připraví nabídku různých druhů keramických výrobků (minimálně 2 druhy výrobků), typy pracovních operací (uvedení minimálně 2 typů operací ve formě názvů pracovních operací), vzorky keramických materiálů (minimálně 3 kusy vzorků vad na výrobek) a umožní uchazeči se s tímto seznámit v předstihu (minimálně 1 měsíc) před zkouškou.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zpracuje přehled doporučené literatury a umožní uchazeči se s ním seznámit v předstihu (minimálně 1 měsíc) před zkouškou. O formě seznámení uchazeče s nabídkou keramických výrobků, pracovních operací, vzorků keramických materiálů a s přehledem doporučené odborné literatury rozhoduje autorizovaná osoba.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 připraví minimálně jednu modelovou situaci pro každou z těchto ověřovaných odborných kompetencí: Operativní řešení organizačních a provozních problémů v keramické výrobě, kritérium hodnocení b); Řízení technologického úseku keramické výroby, kritérium hodnocení d); Vedení a motivování zaměstnanců v keramické výrobě, kritérium hodnocení c). 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mít při zkoušce k dispozici PC s nainstalovaným kancelářským SW obsahujícím textový editor, tabulkový procesor a program pro tvorbu prezentace. S pomocí uvedeného vybavení bude uchazeč zpracovávat úkoly ověřující tyto odborné kompetence: Zpracování podkladů pro odměňování pracovníků v keramické výrobě, kritérium hodnocení b); Koordinace průběhu a vazeb výrobních činností v keramické výrobě, kritérium hodnocení b); Operativní řešení organizačních a provozních problémů v keramické výrobě, kritérium hodnocení b); Řízení technologického úseku keramické výroby, kritérium hodnocení d).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sdělí uchazeči SW vybavení pro potřeby zkoušky z PK v předstihu (minimálně 1 měsíc)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