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E1AEC1" Type="http://schemas.openxmlformats.org/officeDocument/2006/relationships/officeDocument" Target="/word/document.xml" /><Relationship Id="coreR3AE1AEC1" Type="http://schemas.openxmlformats.org/package/2006/relationships/metadata/core-properties" Target="/docProps/core.xml" /><Relationship Id="customR3AE1AE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technolog (kód: 28-029-M)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pro keramickou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standardních technologických postupů a technologických podmínek pro keramickou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technického dozoru na pracovištích keramické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technologických zkoušek v keramické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technické dokumentace keramické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Operativní řešení technologických problémů v keramické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https://www.nsp.cz/jednotka-prace/keramicky-technik-technol#zdravotni-zpusobilost).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připraví nabídku různých druhů keramických výrobků (minimálně 2 druhy výrobků), typy pracovních operací (uvedení minimálně 2 typů operací ve formě názvů pracovních operací), vzorky keramických materiálů (minimálně 3 kusy vzorků vad na výrobek) a umožní uchazeči se s tímto seznámit v předstihu (minimálně 1 měsíc) před zkouškou.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zpracuje přehled doporučené literatury a umožní uchazeči se s ním seznámit v předstihu (minimálně 1 měsíc) před zkouškou. O formě seznámení uchazeče s nabídkou keramických výrobků, pracovních operací, vzorků keramických materiálů a s přehledem doporučené odborné literatury rozhoduje autorizovaná osoba.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kompetence Provádění technologických zkoušek v keramické výrobě, kritérium hodnocení c), autorizovaná osoba, resp. autorizovaný zástupce autorizované osoby zadá uchazeči dvě modelové situace, kde uchazeč provede měření: a) Smrštění zadaného výrobku; b) Stanovení křivky zrnitosti. Výsledky měření uchazeč zapíše do tabulkového procesoru a vyjádří je graficky.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kompetence Stanovování standardních technologických postupů a technologických podmínek pro keramickou výrobu, kritérium hodnocení d), zadá autorizovaná osoba, resp. autorizovaný zástupce autorizované osoby jednu modelovou situaci.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mít k dispozici PC s nainstalovaným kancelářským SW, obsahující textový editor, tabulkový procesor a program na vytváření prezentace. S pomocí uvedeného vybavení bude uchazeč zpracovávat úkoly ověřující tyto odborné kompetence: Stanovování druhu a množství surovin pro keramickou výrobu, kritérium hodnocení e); Stanovování standardních technologických postupů a technologických podmínek pro keramickou výrobu, kritérium hodnocení d); Provádění technologických zkoušek v keramické výrobě, kritérium hodnocení c); výsledky uchazeč zapíše do tabulkového procesoru a vyjádří je graficky.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sdělí uchazeči SW vybavení pro potřeby zkoušky dle hodnoticího standardu profesní kvalifikace v předstihu (minimálně 1 měsíc) před zkouškou.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LASSELSBERGER,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Karlovy Vary,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Imerys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technolog, 11.9.2026 18:32:03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