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8DF895" Type="http://schemas.openxmlformats.org/officeDocument/2006/relationships/officeDocument" Target="/word/document.xml" /><Relationship Id="coreR388DF895" Type="http://schemas.openxmlformats.org/package/2006/relationships/metadata/core-properties" Target="/docProps/core.xml" /><Relationship Id="customR388DF8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technolog / keramická technička technoložka (kód: 28-029-M)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pro keramickou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keramickou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technického dozoru na pracovištích keramické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technologických zkoušek v keramické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technické dokumentace keramické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Operativní řešení technologických problémů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 / keramická technička technoložka,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https://www.nsp.cz/jednotka-prace/keramicky-technik-technol#zdravotni-zpusobilost).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připraví nabídku různých druhů keramických výrobků (minimálně 2 druhy výrobků), typy pracovních operací (uvedení minimálně 2 typů operací ve formě názvů pracovních operací), vzorky keramických materiálů (minimálně 3 kusy vzorků vad na výrobek) a umožní uchazeči se s tímto seznámit v předstihu (minimálně 1 měsíc) před zkouškou.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zpracuje přehled doporučené literatury a umožní uchazeči se s ním seznámit v předstihu (minimálně 1 měsíc) před zkouškou. O formě seznámení uchazeče s nabídkou keramických výrobků, pracovních operací, vzorků keramických materiálů a s přehledem doporučené odborné literatury rozhoduje autorizovaná osoba.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kompetence Provádění technologických zkoušek v keramické výrobě, kritérium hodnocení c), autorizovaná osoba, resp. autorizovaný zástupce autorizované osoby zadá uchazeči dvě modelové situace, kde uchazeč provede měření: a) Smrštění zadaného výrobku; b) Stanovení křivky zrnitosti. Výsledky měření uchazeč zapíše do tabulkového procesoru a vyjádří je graficky.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kompetence Stanovování standardních technologických postupů a technologických podmínek pro keramickou výrobu, kritérium hodnocení d), zadá autorizovaná osoba, resp. autorizovaný zástupce autorizované osoby jednu modelovou situaci.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mít k dispozici PC s nainstalovaným kancelářským SW, obsahující textový editor, tabulkový procesor a program na vytváření prezentace. S pomocí uvedeného vybavení bude uchazeč zpracovávat úkoly ověřující tyto odborné kompetence: Stanovování druhu a množství surovin pro keramickou výrobu, kritérium hodnocení e); Stanovování standardních technologických postupů a technologických podmínek pro keramickou výrobu, kritérium hodnocení d); Provádění technologických zkoušek v keramické výrobě, kritérium hodnocení c); výsledky uchazeč zapíše do tabulkového procesoru a vyjádří je graficky.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sdělí uchazeči SW vybavení pro potřeby zkoušky dle hodnoticího standardu profesní kvalifikace v předstihu (minimálně 1 měsíc) před zkouškou.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 / keramická technička technoložka,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LASSELSBERGER,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Karlovy Vary,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 / keramická technička technoložka,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