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97A63" Type="http://schemas.openxmlformats.org/officeDocument/2006/relationships/officeDocument" Target="/word/document.xml" /><Relationship Id="coreR50097A63" Type="http://schemas.openxmlformats.org/package/2006/relationships/metadata/core-properties" Target="/docProps/core.xml" /><Relationship Id="customR50097A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29.4.2026 20:53:12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opírají zvolené (pracovní) postupy a zásady, které se považují za vhodné a jejichž dodržování se vyžaduje od profesionálů a nabízí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kdo v poradenství pro pozůstalé pečuje o koho a proč (ve jménu čeho)</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kdo a kdy se může stát klientem poradce pro pozůstalé</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Ústní nebo 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Vysvětlit, nakolik jsme všichni blízkými či vzdálenými pozůstalými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nebo písemné ověření</w:t>
      </w:r>
    </w:p>
    <w:p>
      <w:pPr>
        <w:pStyle w:val="P12"/>
        <w:framePr w:w="6710" w:h="831" w:hRule="exact" w:wrap="none" w:vAnchor="page" w:hAnchor="margin" w:x="45" w:y="6701"/>
        <w:rPr>
          <w:rStyle w:val="C3"/>
          <w:rtl w:val="0"/>
        </w:rPr>
      </w:pPr>
    </w:p>
    <w:p>
      <w:pPr>
        <w:pStyle w:val="P13"/>
        <w:framePr w:w="6658" w:h="704" w:hRule="exact" w:wrap="none" w:vAnchor="page" w:hAnchor="margin" w:x="71" w:y="6757"/>
        <w:rPr>
          <w:rStyle w:val="C11"/>
          <w:rtl w:val="0"/>
        </w:rPr>
      </w:pPr>
      <w:r>
        <w:rPr>
          <w:rStyle w:val="C11"/>
          <w:rtl w:val="0"/>
        </w:rPr>
        <w:t>g) Vyjmenovat příklady, jak může poradce pro pozůstalé pomáhat klientovi při prognóze brzkého úmrtí jeho blízké osoby (ve fázi pre finem, in finem a post finem)</w:t>
      </w:r>
    </w:p>
    <w:p>
      <w:pPr>
        <w:pStyle w:val="P28"/>
        <w:framePr w:w="3921" w:h="831" w:hRule="exact" w:wrap="none" w:vAnchor="page" w:hAnchor="margin" w:x="6800" w:y="6701"/>
        <w:rPr>
          <w:rStyle w:val="C3"/>
          <w:rtl w:val="0"/>
        </w:rPr>
      </w:pPr>
    </w:p>
    <w:p>
      <w:pPr>
        <w:pStyle w:val="P29"/>
        <w:framePr w:w="3839" w:h="704" w:hRule="exact" w:wrap="none" w:vAnchor="page" w:hAnchor="margin" w:x="6856" w:y="6757"/>
        <w:rPr>
          <w:rStyle w:val="C21"/>
          <w:rtl w:val="0"/>
        </w:rPr>
      </w:pPr>
      <w:r>
        <w:rPr>
          <w:rStyle w:val="C21"/>
          <w:rtl w:val="0"/>
        </w:rPr>
        <w:t>Ústní nebo 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Ústní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Ústní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Popsat možnosti a limity péče o pozůstalé v rámci stávající psychosociální péče a předložit argumenty pro a proti, podporující skutečnost, že je účinné využívat moderní komunikační prostředky při doprovázení pozůstalých</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Ústní a písemné ověření</w:t>
      </w:r>
    </w:p>
    <w:p>
      <w:pPr>
        <w:pStyle w:val="P12"/>
        <w:framePr w:w="6710" w:h="831" w:hRule="exact" w:wrap="none" w:vAnchor="page" w:hAnchor="margin" w:x="45" w:y="9577"/>
        <w:rPr>
          <w:rStyle w:val="C3"/>
          <w:rtl w:val="0"/>
        </w:rPr>
      </w:pPr>
    </w:p>
    <w:p>
      <w:pPr>
        <w:pStyle w:val="P13"/>
        <w:framePr w:w="6658" w:h="704" w:hRule="exact" w:wrap="none" w:vAnchor="page" w:hAnchor="margin" w:x="71" w:y="9633"/>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577"/>
        <w:rPr>
          <w:rStyle w:val="C3"/>
          <w:rtl w:val="0"/>
        </w:rPr>
      </w:pPr>
    </w:p>
    <w:p>
      <w:pPr>
        <w:pStyle w:val="P29"/>
        <w:framePr w:w="3839" w:h="704" w:hRule="exact" w:wrap="none" w:vAnchor="page" w:hAnchor="margin" w:x="6856" w:y="9633"/>
        <w:rPr>
          <w:rStyle w:val="C21"/>
          <w:rtl w:val="0"/>
        </w:rPr>
      </w:pPr>
      <w:r>
        <w:rPr>
          <w:rStyle w:val="C21"/>
          <w:rtl w:val="0"/>
        </w:rPr>
        <w:t>Praktické předvedení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l) Napsat vlastní rukou dopis pozůstalému podle zadání</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29.4.2026 20:53:12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všeobecně přijatelné definice takových pojmů, jako je „blízkost“, „podpora“, „doprovázení“, „poradenství“ nebo „terapie“a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uplatňované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Předložit argumenty, na základě kterých je možné, případně nutné, poradenský vztah ukončit</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Identifikovat rizika, která mohou představovat některé situace v poradenském vztahu (např. být poradcem pro své přátele nebo dělat si přátele ze svých klientů apod.)</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Objasnit, kdo zodpovídá za kvalitu poskytovaného poradenství a která jednání a postupy by mohly vyústit v nelegální nebo neobhajitelné činy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831" w:hRule="exact" w:wrap="none" w:vAnchor="page" w:hAnchor="margin" w:x="45" w:y="7956"/>
        <w:rPr>
          <w:rStyle w:val="C3"/>
          <w:rtl w:val="0"/>
        </w:rPr>
      </w:pPr>
    </w:p>
    <w:p>
      <w:pPr>
        <w:pStyle w:val="P13"/>
        <w:framePr w:w="6658" w:h="704" w:hRule="exact" w:wrap="none" w:vAnchor="page" w:hAnchor="margin" w:x="71" w:y="8012"/>
        <w:rPr>
          <w:rStyle w:val="C11"/>
          <w:rtl w:val="0"/>
        </w:rPr>
      </w:pPr>
      <w:r>
        <w:rPr>
          <w:rStyle w:val="C11"/>
          <w:rtl w:val="0"/>
        </w:rPr>
        <w:t>g) Identifikovat, co nesmí poradce pro pozůstalé svým klientům v poradenství nabídnout a čeho by se měl poradce v průběhu poradenství pro pozůstalé vyvarovat</w:t>
      </w:r>
    </w:p>
    <w:p>
      <w:pPr>
        <w:pStyle w:val="P28"/>
        <w:framePr w:w="3921" w:h="831" w:hRule="exact" w:wrap="none" w:vAnchor="page" w:hAnchor="margin" w:x="6800" w:y="7956"/>
        <w:rPr>
          <w:rStyle w:val="C3"/>
          <w:rtl w:val="0"/>
        </w:rPr>
      </w:pPr>
    </w:p>
    <w:p>
      <w:pPr>
        <w:pStyle w:val="P29"/>
        <w:framePr w:w="3839" w:h="704" w:hRule="exact" w:wrap="none" w:vAnchor="page" w:hAnchor="margin" w:x="6856" w:y="8012"/>
        <w:rPr>
          <w:rStyle w:val="C21"/>
          <w:rtl w:val="0"/>
        </w:rPr>
      </w:pPr>
      <w:r>
        <w:rPr>
          <w:rStyle w:val="C21"/>
          <w:rtl w:val="0"/>
        </w:rPr>
        <w:t>Ústní ověření</w:t>
      </w:r>
    </w:p>
    <w:p>
      <w:pPr>
        <w:pStyle w:val="P32"/>
        <w:framePr w:w="10710" w:h="248" w:hRule="exact" w:wrap="none" w:vAnchor="page" w:hAnchor="margin" w:x="28" w:y="8901"/>
        <w:rPr>
          <w:rStyle w:val="C23"/>
          <w:rtl w:val="0"/>
        </w:rPr>
      </w:pPr>
      <w:r>
        <w:rPr>
          <w:rStyle w:val="C23"/>
          <w:rtl w:val="0"/>
        </w:rPr>
        <w:t>Je třeba splnit všechna kritéria.</w:t>
      </w:r>
    </w:p>
    <w:p>
      <w:pPr>
        <w:pStyle w:val="P23"/>
        <w:framePr w:w="10710" w:h="340" w:hRule="exact" w:wrap="none" w:vAnchor="page" w:hAnchor="margin" w:x="28" w:y="9336"/>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9776"/>
        <w:rPr>
          <w:rStyle w:val="C3"/>
          <w:rtl w:val="0"/>
        </w:rPr>
      </w:pPr>
    </w:p>
    <w:p>
      <w:pPr>
        <w:pStyle w:val="P25"/>
        <w:framePr w:w="6661" w:h="249" w:hRule="exact" w:wrap="none" w:vAnchor="page" w:hAnchor="margin" w:x="71" w:y="9847"/>
        <w:rPr>
          <w:rStyle w:val="C19"/>
          <w:rtl w:val="0"/>
        </w:rPr>
      </w:pPr>
      <w:r>
        <w:rPr>
          <w:rStyle w:val="C19"/>
          <w:rtl w:val="0"/>
        </w:rPr>
        <w:t>Kritéria hodnocení</w:t>
      </w:r>
    </w:p>
    <w:p>
      <w:pPr>
        <w:pStyle w:val="P26"/>
        <w:framePr w:w="3918" w:h="376" w:hRule="exact" w:wrap="none" w:vAnchor="page" w:hAnchor="margin" w:x="6803" w:y="9776"/>
        <w:rPr>
          <w:rStyle w:val="C3"/>
          <w:rtl w:val="0"/>
        </w:rPr>
      </w:pPr>
    </w:p>
    <w:p>
      <w:pPr>
        <w:pStyle w:val="P27"/>
        <w:framePr w:w="3836" w:h="249" w:hRule="exact" w:wrap="none" w:vAnchor="page" w:hAnchor="margin" w:x="6859" w:y="9847"/>
        <w:rPr>
          <w:rStyle w:val="C20"/>
          <w:rtl w:val="0"/>
        </w:rPr>
      </w:pPr>
      <w:r>
        <w:rPr>
          <w:rStyle w:val="C20"/>
          <w:rtl w:val="0"/>
        </w:rPr>
        <w:t>Způsoby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376" w:hRule="exact" w:wrap="none" w:vAnchor="page" w:hAnchor="margin" w:x="45" w:y="11365"/>
        <w:rPr>
          <w:rStyle w:val="C3"/>
          <w:rtl w:val="0"/>
        </w:rPr>
      </w:pPr>
    </w:p>
    <w:p>
      <w:pPr>
        <w:pStyle w:val="P13"/>
        <w:framePr w:w="6658" w:h="249" w:hRule="exact" w:wrap="none" w:vAnchor="page" w:hAnchor="margin" w:x="71" w:y="11421"/>
        <w:rPr>
          <w:rStyle w:val="C11"/>
          <w:rtl w:val="0"/>
        </w:rPr>
      </w:pPr>
      <w:r>
        <w:rPr>
          <w:rStyle w:val="C11"/>
          <w:rtl w:val="0"/>
        </w:rPr>
        <w:t>c) Ohodnotit sám sebe v průběhu inscenační hry</w:t>
      </w:r>
    </w:p>
    <w:p>
      <w:pPr>
        <w:pStyle w:val="P28"/>
        <w:framePr w:w="3921" w:h="376" w:hRule="exact" w:wrap="none" w:vAnchor="page" w:hAnchor="margin" w:x="6800" w:y="11365"/>
        <w:rPr>
          <w:rStyle w:val="C3"/>
          <w:rtl w:val="0"/>
        </w:rPr>
      </w:pPr>
    </w:p>
    <w:p>
      <w:pPr>
        <w:pStyle w:val="P29"/>
        <w:framePr w:w="3839" w:h="249" w:hRule="exact" w:wrap="none" w:vAnchor="page" w:hAnchor="margin" w:x="6856" w:y="11421"/>
        <w:rPr>
          <w:rStyle w:val="C21"/>
          <w:rtl w:val="0"/>
        </w:rPr>
      </w:pPr>
      <w:r>
        <w:rPr>
          <w:rStyle w:val="C21"/>
          <w:rtl w:val="0"/>
        </w:rPr>
        <w:t>Ústní nebo písemné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29.4.2026 20:53:12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Usnadňování procesu truchlení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pomoc pozůstalým přiznat si skutečnost ztráty blízké osoby a překonat různé překážky při procesu adaptace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průběh poradenského procesu a uvést, co může komplikovat navázání smluvního vztahu s klientem</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„normální“ a „komplikované“ reakce na ztrátu osoby blízké nebo na jakoukoli jinou životní ztrátu a charakterizovat „normální“ reakce pozůstalých na tělesné, emocionální, psychosociální a kognitivní úrovni i na úrovni chování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a písemné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Aplikování základních zásad pohřbívání v poradenství pro pozůstalé</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Ústní ověření</w:t>
      </w:r>
    </w:p>
    <w:p>
      <w:pPr>
        <w:pStyle w:val="P16"/>
        <w:framePr w:w="6710" w:h="1055" w:hRule="exact" w:wrap="none" w:vAnchor="page" w:hAnchor="margin" w:x="45" w:y="8265"/>
        <w:rPr>
          <w:rStyle w:val="C3"/>
          <w:rtl w:val="0"/>
        </w:rPr>
      </w:pPr>
    </w:p>
    <w:p>
      <w:pPr>
        <w:pStyle w:val="P17"/>
        <w:framePr w:w="6658" w:h="928" w:hRule="exact" w:wrap="none" w:vAnchor="page" w:hAnchor="margin" w:x="71" w:y="8321"/>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8265"/>
        <w:rPr>
          <w:rStyle w:val="C3"/>
          <w:rtl w:val="0"/>
        </w:rPr>
      </w:pPr>
    </w:p>
    <w:p>
      <w:pPr>
        <w:pStyle w:val="P31"/>
        <w:framePr w:w="3839" w:h="928" w:hRule="exact" w:wrap="none" w:vAnchor="page" w:hAnchor="margin" w:x="6856" w:y="8321"/>
        <w:rPr>
          <w:rStyle w:val="C22"/>
          <w:rtl w:val="0"/>
        </w:rPr>
      </w:pPr>
      <w:r>
        <w:rPr>
          <w:rStyle w:val="C22"/>
          <w:rtl w:val="0"/>
        </w:rPr>
        <w:t>Ústní ověření</w:t>
      </w:r>
    </w:p>
    <w:p>
      <w:pPr>
        <w:pStyle w:val="P12"/>
        <w:framePr w:w="6710" w:h="831" w:hRule="exact" w:wrap="none" w:vAnchor="page" w:hAnchor="margin" w:x="45" w:y="9321"/>
        <w:rPr>
          <w:rStyle w:val="C3"/>
          <w:rtl w:val="0"/>
        </w:rPr>
      </w:pPr>
    </w:p>
    <w:p>
      <w:pPr>
        <w:pStyle w:val="P13"/>
        <w:framePr w:w="6658" w:h="704" w:hRule="exact" w:wrap="none" w:vAnchor="page" w:hAnchor="margin" w:x="71" w:y="9377"/>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9321"/>
        <w:rPr>
          <w:rStyle w:val="C3"/>
          <w:rtl w:val="0"/>
        </w:rPr>
      </w:pPr>
    </w:p>
    <w:p>
      <w:pPr>
        <w:pStyle w:val="P29"/>
        <w:framePr w:w="3839" w:h="704" w:hRule="exact" w:wrap="none" w:vAnchor="page" w:hAnchor="margin" w:x="6856" w:y="9377"/>
        <w:rPr>
          <w:rStyle w:val="C21"/>
          <w:rtl w:val="0"/>
        </w:rPr>
      </w:pPr>
      <w:r>
        <w:rPr>
          <w:rStyle w:val="C21"/>
          <w:rtl w:val="0"/>
        </w:rPr>
        <w:t>Ústní ověření</w:t>
      </w:r>
    </w:p>
    <w:p>
      <w:pPr>
        <w:pStyle w:val="P16"/>
        <w:framePr w:w="6710" w:h="831" w:hRule="exact" w:wrap="none" w:vAnchor="page" w:hAnchor="margin" w:x="45" w:y="10152"/>
        <w:rPr>
          <w:rStyle w:val="C3"/>
          <w:rtl w:val="0"/>
        </w:rPr>
      </w:pPr>
    </w:p>
    <w:p>
      <w:pPr>
        <w:pStyle w:val="P17"/>
        <w:framePr w:w="6658" w:h="704" w:hRule="exact" w:wrap="none" w:vAnchor="page" w:hAnchor="margin" w:x="71" w:y="10208"/>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152"/>
        <w:rPr>
          <w:rStyle w:val="C3"/>
          <w:rtl w:val="0"/>
        </w:rPr>
      </w:pPr>
    </w:p>
    <w:p>
      <w:pPr>
        <w:pStyle w:val="P31"/>
        <w:framePr w:w="3839" w:h="704" w:hRule="exact" w:wrap="none" w:vAnchor="page" w:hAnchor="margin" w:x="6856" w:y="10208"/>
        <w:rPr>
          <w:rStyle w:val="C22"/>
          <w:rtl w:val="0"/>
        </w:rPr>
      </w:pPr>
      <w:r>
        <w:rPr>
          <w:rStyle w:val="C22"/>
          <w:rtl w:val="0"/>
        </w:rPr>
        <w:t>Ústní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29.4.2026 20:53:12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Charakterizování osobnosti poradce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pozitivní a negativní efekty osobnosti poradce pro pozůstalé (jeho chování, osobnostní i fyzické atraktivity apod.) a popsat, jak mohou klienti poradce pro pozůstalé vnímat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Předložit argumenty pro a proti nabízení svého světonázoru (má poradce respektovat náboženské vyznání, hodnoty a názorovou orientaci svých klientů nebo svou službou nepřímo získávat mezi klienty nové věřící či nevěřící?)</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Popsat, jak podpořit klienta, aby si sám našel svůj smysl života</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Navrhnout, co může poradce pro pozůstalé udělat pro prevenci syndromu vyhoření (péče o sebe sama)</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Vysvětlit úlohu supervize v poradenství pro pozůstalé, kdo a jakým způsobem kontroluje práci poradce pro pozůstalé</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 pro pozůstalé, 29.4.2026 20:53:12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33"/>
        <w:framePr w:w="10766" w:h="1837" w:hRule="exact" w:wrap="none" w:vAnchor="page" w:hAnchor="margin" w:x="0" w:y="11970"/>
        <w:rPr>
          <w:rStyle w:val="C3"/>
          <w:rtl w:val="0"/>
        </w:rPr>
      </w:pPr>
    </w:p>
    <w:p>
      <w:pPr>
        <w:pStyle w:val="P35"/>
        <w:framePr w:w="10710" w:h="340" w:hRule="exact" w:wrap="none" w:vAnchor="page" w:hAnchor="margin" w:x="28" w:y="11970"/>
        <w:rPr>
          <w:rStyle w:val="C25"/>
          <w:rtl w:val="0"/>
        </w:rPr>
      </w:pPr>
      <w:r>
        <w:rPr>
          <w:rStyle w:val="C25"/>
          <w:rtl w:val="0"/>
        </w:rPr>
        <w:t>Výsledné hodnocení</w:t>
      </w:r>
    </w:p>
    <w:p>
      <w:pPr>
        <w:keepNext w:val="0"/>
        <w:keepLines w:val="0"/>
        <w:framePr w:w="10766" w:h="1497" w:hRule="exact" w:wrap="none" w:vAnchor="page" w:hAnchor="margin" w:x="0" w:y="12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034"/>
        <w:rPr>
          <w:rStyle w:val="C3"/>
          <w:rtl w:val="0"/>
        </w:rPr>
      </w:pPr>
    </w:p>
    <w:p>
      <w:pPr>
        <w:pStyle w:val="P35"/>
        <w:framePr w:w="10710" w:h="340" w:hRule="exact" w:wrap="none" w:vAnchor="page" w:hAnchor="margin" w:x="28" w:y="14034"/>
        <w:rPr>
          <w:rStyle w:val="C25"/>
          <w:rtl w:val="0"/>
        </w:rPr>
      </w:pPr>
      <w:r>
        <w:rPr>
          <w:rStyle w:val="C25"/>
          <w:rtl w:val="0"/>
        </w:rPr>
        <w:t>Počet zkoušejících</w:t>
      </w:r>
    </w:p>
    <w:p>
      <w:pPr>
        <w:keepNext w:val="0"/>
        <w:keepLines w:val="0"/>
        <w:framePr w:w="10766" w:h="806" w:hRule="exact" w:wrap="none" w:vAnchor="page" w:hAnchor="margin" w:x="0"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Poradce pro pozůstalé, 29.4.2026 20:53:12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nejméně bakalářského studijního programu a alespoň 5 let praxe psychologického nebo 6 let praxe sociálněprávního či jinak pomáhajícího poradce v sociálních, zdravotnických či pohřebních službách, z toho minimálně jeden rok v období posledních dvou let před podáním žádosti o autorizaci.</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77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technika (videokamera, diktafon)</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91"/>
        <w:rPr>
          <w:rStyle w:val="C3"/>
          <w:rtl w:val="0"/>
        </w:rPr>
      </w:pPr>
    </w:p>
    <w:p>
      <w:pPr>
        <w:pStyle w:val="P35"/>
        <w:framePr w:w="10710" w:h="340" w:hRule="exact" w:wrap="none" w:vAnchor="page" w:hAnchor="margin" w:x="28" w:y="11391"/>
        <w:rPr>
          <w:rStyle w:val="C25"/>
          <w:rtl w:val="0"/>
        </w:rPr>
      </w:pPr>
      <w:r>
        <w:rPr>
          <w:rStyle w:val="C25"/>
          <w:rtl w:val="0"/>
        </w:rPr>
        <w:t>Doba přípravy na zkoušku</w:t>
      </w:r>
    </w:p>
    <w:p>
      <w:pPr>
        <w:keepNext w:val="0"/>
        <w:keepLines w:val="0"/>
        <w:framePr w:w="10766" w:h="1036" w:hRule="exact" w:wrap="none" w:vAnchor="page" w:hAnchor="margin" w:x="0" w:y="11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94"/>
        <w:rPr>
          <w:rStyle w:val="C3"/>
          <w:rtl w:val="0"/>
        </w:rPr>
      </w:pPr>
    </w:p>
    <w:p>
      <w:pPr>
        <w:pStyle w:val="P35"/>
        <w:framePr w:w="10710" w:h="340" w:hRule="exact" w:wrap="none" w:vAnchor="page" w:hAnchor="margin" w:x="28" w:y="12994"/>
        <w:rPr>
          <w:rStyle w:val="C25"/>
          <w:rtl w:val="0"/>
        </w:rPr>
      </w:pPr>
      <w:r>
        <w:rPr>
          <w:rStyle w:val="C25"/>
          <w:rtl w:val="0"/>
        </w:rPr>
        <w:t>Doba pro vykonání zkoušky</w:t>
      </w:r>
    </w:p>
    <w:p>
      <w:pPr>
        <w:keepNext w:val="0"/>
        <w:keepLines w:val="0"/>
        <w:framePr w:w="10766" w:h="806" w:hRule="exact" w:wrap="none" w:vAnchor="page" w:hAnchor="margin" w:x="0" w:y="13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 pro pozůstalé, 29.4.2026 20:53:12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ostatní služby, ustavená a licencovaná pro tuto činnost HK ČR a SP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29.4.2026 20:53:12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