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52B6CC" Type="http://schemas.openxmlformats.org/officeDocument/2006/relationships/officeDocument" Target="/word/document.xml" /><Relationship Id="coreR2052B6CC" Type="http://schemas.openxmlformats.org/package/2006/relationships/metadata/core-properties" Target="/docProps/core.xml" /><Relationship Id="customR2052B6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veřejného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Definování veřejného pohřebiště, jeho zřízení a vymezení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Definování pohřbívání, exhumace a nakládání se zpopelněnými ostatky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Vymezení náležitostí Řádu veřejného pohřebiště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Užívání hrobového místa na veřejném pohřebišti a přechod nájmu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Skončení nájmu hrobového místa a vyklizení od hrobového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předepsané evidence veřejného pohřebiště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Oceňování nájmu hrobových míst a služeb na veřejném pohřebišti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30.10.2026 16:43:15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Vymezení náležitosti řádu veřejného pohřebiště, kritérium b); Užívání hrobového místa na veřejném pohřebišti a přechod nájmu, kritérium c) autorizovaná osoba připraví jedno zadání, na jehož základě uchazeč splní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30.10.2026 16:43:15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30.10.2026 16:43:15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