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2C491F4" Type="http://schemas.openxmlformats.org/officeDocument/2006/relationships/officeDocument" Target="/word/document.xml" /><Relationship Id="coreR42C491F4" Type="http://schemas.openxmlformats.org/package/2006/relationships/metadata/core-properties" Target="/docProps/core.xml" /><Relationship Id="customR42C491F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Sklář pro technické sklo (kód: 28-012-H)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Sklář; Sklář technického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i výtvarných podkladech pro výrobu a zpracování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při výrobě technického skla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Foukání výrobků z technického skla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Ošetřování a údržba zařízení a pomůcek pro výrobu technického skla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07.02.2012 do: 05.04.2019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 pro technické sklo, 11.9.2026 20:30:39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34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NSP - http://katalog.nsp.cz/karta_tp.aspx?id_jp=2059&amp;kod_sm1=35).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Povinností zkoušejícího je dbát na to, aby zkouška probíhala podle tohoto hodnotícího standardu.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kritérií hodnocení pro jednotlivé kompetence je třeba získat celkový přehled o způsobilosti uchazeče vykonávat povolání v určitém úseku sklářské výroby. 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zhotoveného produktu.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 pro technické sklo, 11.9.2026 20:30:39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sklo, keramiku a zpracování minerálů,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sklářská a Střední škola Nový Bor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řemesel a služeb Jablonec nad Nisou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Crystalex CZ,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 pro technické sklo, 11.9.2026 20:30:39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