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2E3EC6" Type="http://schemas.openxmlformats.org/officeDocument/2006/relationships/officeDocument" Target="/word/document.xml" /><Relationship Id="coreR1B2E3EC6" Type="http://schemas.openxmlformats.org/package/2006/relationships/metadata/core-properties" Target="/docProps/core.xml" /><Relationship Id="customR1B2E3E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Porážení, jatečné opracování a porcování králíků, 3.11.2026 17:33:44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1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králíků s využitím technologických postupů a hygienických zásad zacházení s králičím masem.</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21"/>
        <w:framePr w:w="7654" w:h="331" w:hRule="exact" w:wrap="none" w:vAnchor="page" w:hAnchor="margin" w:x="28" w:y="15940"/>
        <w:rPr>
          <w:rStyle w:val="C16"/>
          <w:rtl w:val="0"/>
        </w:rPr>
      </w:pPr>
      <w:r>
        <w:rPr>
          <w:rStyle w:val="C16"/>
          <w:rtl w:val="0"/>
        </w:rPr>
        <w:t>Porážení, jatečné opracování a porcování králíků, 3.11.2026 17:33:44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5"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Porážení, jatečné opracování a porcování králíků, 3.11.2026 17:33:44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