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E154FF" Type="http://schemas.openxmlformats.org/officeDocument/2006/relationships/officeDocument" Target="/word/document.xml" /><Relationship Id="coreR5AE154FF" Type="http://schemas.openxmlformats.org/package/2006/relationships/metadata/core-properties" Target="/docProps/core.xml" /><Relationship Id="customR5AE154F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Základní kovoobráběčské práce (kód: 23-021-E)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ve strojírenské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provádění obráběcích operací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Výroba součástí na obráběcích strojích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22.11.2011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Základní kovoobráběčské práce, 21.9.2026 4:10:58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http://katalog.nsp.cz/karta_tp.aspx?id_jp=101083&amp;kod_sm1=37).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Povinností zkoušejícího je dbát na to, aby zkouška probíhala podle tohoto hodnotícího standardu.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Základní kovoobráběčské práce, 21.9.2026 4:10:58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strojírenství, ustavená a licencovaná pro tuto činnost HK ČR a SP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Základní kovoobráběčské práce, 21.9.2026 4:10:58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