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93EC1A" Type="http://schemas.openxmlformats.org/officeDocument/2006/relationships/officeDocument" Target="/word/document.xml" /><Relationship Id="coreR5593EC1A" Type="http://schemas.openxmlformats.org/package/2006/relationships/metadata/core-properties" Target="/docProps/core.xml" /><Relationship Id="customR5593EC1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nožířských výrobků (kód: 23-013-E)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Brusič nožířských výrobků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druhu, tvaru a zrnitosti brusných nástrojů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ostření kuchyňských, kuchařských a speciálních řemeslnických nožů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ostření sekyr a sekáčků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ostření krejčovských a zahradnických nůžek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naostření běžných nožířských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údržba používaných strojů, nástrojů, nářadí a pomůcek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27.10.2026 5:20:22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https://www.nsp.cz/jednotka-prace/brusic-nozirskych-vyrobku#zdravotni-zpusobilost).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zhotoveného produktu. Při ověřování jednotlivých kritérií formou praktického předvedení může zkoušející kladením adekvátních otázek vyžadovat doplňující ústní komentář k prováděné operaci.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27.10.2026 5:20:22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ZVVZ MACHINERY, a. s.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ZVVZ,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Milevsko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Procházka (OSVČ)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nožířských výrobků, 27.10.2026 5:20:22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