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EBB40" Type="http://schemas.openxmlformats.org/officeDocument/2006/relationships/officeDocument" Target="/word/document.xml" /><Relationship Id="coreR372EBB40" Type="http://schemas.openxmlformats.org/package/2006/relationships/metadata/core-properties" Target="/docProps/core.xml" /><Relationship Id="customR372EBB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Písemné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Písemné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Písemné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Písemné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materiálů řezáním, stříháním, pilováním, vrtáním, broušením,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Obrábět a zpracovávat ručně kovové materiály a plasty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Používat nástroje, nářadí a pomůcky pro ruční obrábění a zpracování kovů a plastů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Ručně brousit a obtahovat ostří nožířských výrobků</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Jednoduché tepelné zpracování drobných částí nástrojů, přípravků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b) Ohřát součást na žíhací, kalicí či popouštěcí teplotu</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12"/>
        <w:framePr w:w="6710" w:h="376" w:hRule="exact" w:wrap="none" w:vAnchor="page" w:hAnchor="margin" w:x="45" w:y="14231"/>
        <w:rPr>
          <w:rStyle w:val="C3"/>
          <w:rtl w:val="0"/>
        </w:rPr>
      </w:pPr>
    </w:p>
    <w:p>
      <w:pPr>
        <w:pStyle w:val="P13"/>
        <w:framePr w:w="6658" w:h="249" w:hRule="exact" w:wrap="none" w:vAnchor="page" w:hAnchor="margin" w:x="71" w:y="14287"/>
        <w:rPr>
          <w:rStyle w:val="C11"/>
          <w:rtl w:val="0"/>
        </w:rPr>
      </w:pPr>
      <w:r>
        <w:rPr>
          <w:rStyle w:val="C11"/>
          <w:rtl w:val="0"/>
        </w:rPr>
        <w:t>c) Ochladit součást po ohřevu</w:t>
      </w:r>
    </w:p>
    <w:p>
      <w:pPr>
        <w:pStyle w:val="P28"/>
        <w:framePr w:w="3921" w:h="376" w:hRule="exact" w:wrap="none" w:vAnchor="page" w:hAnchor="margin" w:x="6800" w:y="14231"/>
        <w:rPr>
          <w:rStyle w:val="C3"/>
          <w:rtl w:val="0"/>
        </w:rPr>
      </w:pPr>
    </w:p>
    <w:p>
      <w:pPr>
        <w:pStyle w:val="P29"/>
        <w:framePr w:w="3839" w:h="249" w:hRule="exact" w:wrap="none" w:vAnchor="page" w:hAnchor="margin" w:x="6856" w:y="14287"/>
        <w:rPr>
          <w:rStyle w:val="C21"/>
          <w:rtl w:val="0"/>
        </w:rPr>
      </w:pPr>
      <w:r>
        <w:rPr>
          <w:rStyle w:val="C21"/>
          <w:rtl w:val="0"/>
        </w:rPr>
        <w:t>Praktické předvedení</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d) Zkontrolovat výsledek tepelného zpracování</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Praktické předvedení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Připravit části nožířských výrobků k aplikaci tmelů, licích pryskyřic, lepidel</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či jejich součástí tmely, licí pryskyřice,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opravy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(nožířského výrobku či jeho části) a podrobných údajů potřebných pro splnění požadavků zkoušky (tj. výrobu, úpravu, opravu, seřízení, naostření) sdělí uchazeči autorizovaná osoba do 14 dnů po obdržení přihlášky ke zkoušce; při výběru zadání vychází zejména ze složitosti požadované práce. Požadovaný rozsah práce musí odpovídat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a úpravám zadaných nožířských výrobků včetně příslušenství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třískové obrábění potřebné k provedení strojních operací při výrobě, dokončení či úpravách zadaných nožířských výrobků a jejich částí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či úpravám zadaných nožířských výrobků a jejich částí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nožířské výrobky a jejich části k dokončení, sestavení, k opravě či renovaci</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výrobků nebo jiné podklady, obsahující požadavky na jejich rozměry, tvar a přesnost vyhotovení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 COPt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 nožíř) David Kranz</w:t>
      </w:r>
    </w:p>
    <w:p>
      <w:pPr>
        <w:pStyle w:val="P21"/>
        <w:framePr w:w="7654" w:h="331" w:hRule="exact" w:wrap="none" w:vAnchor="page" w:hAnchor="margin" w:x="28" w:y="15940"/>
        <w:rPr>
          <w:rStyle w:val="C16"/>
          <w:rtl w:val="0"/>
        </w:rPr>
      </w:pPr>
      <w:r>
        <w:rPr>
          <w:rStyle w:val="C16"/>
          <w:rtl w:val="0"/>
        </w:rPr>
        <w:t>Nožíř, 29.10.2026 10:02:42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F43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B6C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