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C3FE3" Type="http://schemas.openxmlformats.org/officeDocument/2006/relationships/officeDocument" Target="/word/document.xml" /><Relationship Id="coreR335C3FE3" Type="http://schemas.openxmlformats.org/package/2006/relationships/metadata/core-properties" Target="/docProps/core.xml" /><Relationship Id="customR335C3F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a úpravám zadaných nožířských výrobků včetně příslušenství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třískové obrábění potřebné k provedení strojních operací při výrobě, dokončení či úpravách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či úpravám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pStyle w:val="P21"/>
        <w:framePr w:w="7654" w:h="331" w:hRule="exact" w:wrap="none" w:vAnchor="page" w:hAnchor="margin" w:x="28" w:y="15940"/>
        <w:rPr>
          <w:rStyle w:val="C16"/>
          <w:rtl w:val="0"/>
        </w:rPr>
      </w:pPr>
      <w:r>
        <w:rPr>
          <w:rStyle w:val="C16"/>
          <w:rtl w:val="0"/>
        </w:rPr>
        <w:t>Nožíř, 30.7.2026 4:33:56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71A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432B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