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19179C" Type="http://schemas.openxmlformats.org/officeDocument/2006/relationships/officeDocument" Target="/word/document.xml" /><Relationship Id="coreRE19179C" Type="http://schemas.openxmlformats.org/package/2006/relationships/metadata/core-properties" Target="/docProps/core.xml" /><Relationship Id="customRE1917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 pro řezné nástroje (kód: 23-014-H)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měřicích a kontrolních zařízení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Slícovávání částí nástrojů, přípravků, měřidel a pomůcek, jejich ustavování, sestavování, justáž a fixace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Mísení vícesložkových hmot a jejich používání při výrobě a opravách nástrojů, přípravků, měřidel a pomůcek</w:t>
      </w:r>
    </w:p>
    <w:p>
      <w:pPr>
        <w:pStyle w:val="P14"/>
        <w:framePr w:w="805" w:h="376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20"/>
        <w:rPr>
          <w:rStyle w:val="C13"/>
          <w:rtl w:val="0"/>
        </w:rPr>
      </w:pPr>
      <w:r>
        <w:rPr>
          <w:rStyle w:val="C13"/>
          <w:rtl w:val="0"/>
        </w:rPr>
        <w:t>Opravování a renovace řezných a tvářecích nástrojů, nářadí, přípravků a měřidel</w:t>
      </w:r>
    </w:p>
    <w:p>
      <w:pPr>
        <w:pStyle w:val="P18"/>
        <w:framePr w:w="805" w:h="376" w:hRule="exact" w:wrap="none" w:vAnchor="page" w:hAnchor="margin" w:x="9916" w:y="116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0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96"/>
        <w:rPr>
          <w:rStyle w:val="C11"/>
          <w:rtl w:val="0"/>
        </w:rPr>
      </w:pPr>
      <w:r>
        <w:rPr>
          <w:rStyle w:val="C11"/>
          <w:rtl w:val="0"/>
        </w:rPr>
        <w:t>Ošetřování a údržba obráběcích strojů, nářadí, nástrojů a pomůcek</w:t>
      </w:r>
    </w:p>
    <w:p>
      <w:pPr>
        <w:pStyle w:val="P14"/>
        <w:framePr w:w="805" w:h="376" w:hRule="exact" w:wrap="none" w:vAnchor="page" w:hAnchor="margin" w:x="9916" w:y="120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72"/>
        <w:rPr>
          <w:rStyle w:val="C13"/>
          <w:rtl w:val="0"/>
        </w:rPr>
      </w:pPr>
      <w:r>
        <w:rPr>
          <w:rStyle w:val="C13"/>
          <w:rtl w:val="0"/>
        </w:rPr>
        <w:t>Obsluha soustruhů, vrtaček, vyvrtávaček a brusek</w:t>
      </w:r>
    </w:p>
    <w:p>
      <w:pPr>
        <w:pStyle w:val="P18"/>
        <w:framePr w:w="805" w:h="376" w:hRule="exact" w:wrap="none" w:vAnchor="page" w:hAnchor="margin" w:x="9916" w:y="124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7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7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848"/>
        <w:rPr>
          <w:rStyle w:val="C11"/>
          <w:rtl w:val="0"/>
        </w:rPr>
      </w:pPr>
      <w:r>
        <w:rPr>
          <w:rStyle w:val="C11"/>
          <w:rtl w:val="0"/>
        </w:rPr>
        <w:t>Obsluha frézek, hoblovek a obrážeček</w:t>
      </w:r>
    </w:p>
    <w:p>
      <w:pPr>
        <w:pStyle w:val="P14"/>
        <w:framePr w:w="805" w:h="376" w:hRule="exact" w:wrap="none" w:vAnchor="page" w:hAnchor="margin" w:x="9916" w:y="127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84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1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225"/>
        <w:rPr>
          <w:rStyle w:val="C13"/>
          <w:rtl w:val="0"/>
        </w:rPr>
      </w:pPr>
      <w:r>
        <w:rPr>
          <w:rStyle w:val="C13"/>
          <w:rtl w:val="0"/>
        </w:rPr>
        <w:t>Ostření nástrojů na nástrojových bruskách</w:t>
      </w:r>
    </w:p>
    <w:p>
      <w:pPr>
        <w:pStyle w:val="P18"/>
        <w:framePr w:w="805" w:h="376" w:hRule="exact" w:wrap="none" w:vAnchor="page" w:hAnchor="margin" w:x="9916" w:y="131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22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7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112"/>
        <w:rPr>
          <w:rStyle w:val="C15"/>
          <w:rtl w:val="0"/>
        </w:rPr>
      </w:pPr>
      <w:r>
        <w:rPr>
          <w:rStyle w:val="C15"/>
          <w:rtl w:val="0"/>
        </w:rPr>
        <w:t>Standard je platný od: 24.11.2011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řezné nástroje, 29.10.2026 0:51:39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http://katalog.nsp.cz/karta_tp.aspx?id_jp=2193&amp;kod_sm1=37).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ostření.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řezné nástroje, 29.10.2026 0:51:39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řezné nástroje, 29.10.2026 0:51:39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