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04BD4" Type="http://schemas.openxmlformats.org/officeDocument/2006/relationships/officeDocument" Target="/word/document.xml" /><Relationship Id="coreR1604BD4" Type="http://schemas.openxmlformats.org/package/2006/relationships/metadata/core-properties" Target="/docProps/core.xml" /><Relationship Id="customR1604B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/ potápěčka operátorka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postupů pro zajištění potápěčských prací z povrchového pracoviště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povrchovém pracovišti potápěčů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výstroje potápěčů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kontrola sestavy vhodné potápěčské techniky potápěčů před ponorem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povrchového pracoviště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potápěče z povrchového pracoviště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na povrchovém pracovišti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záchranářských prací nad hladinou při hledání, vyprošťování a evakuaci osob, techniky a materiálu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Prokázání znalostí potápěčské fyziky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Zajišťování odborných průzkumů a odstraňování havarijních a nebezpečných stavů objektů a zařízení pod vodou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Dokumentování objektů a zařízení na povrchu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Zajišťování potápěčských prací nad hladinou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Zajišťování potápěčských prací v uzavřeném prostoru a bez volné hladiny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uchazeče, jeho zdravotního stavu nebo nepříznivých klimatických podmínek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(viz NSP: https://nsp.cz/jednotka-prace/potapec-operator#zdravotni-zpusobilosti).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s ohledem na skutečnost, že zkoušku nelze provádět v simulovaném prostředí a její výkon se svojí rizikovostí rovná výkonu práce a činností podle přílohy číslo 5 nařízení vlády č. 591/2006 Sb., v aktuálním znění (práce a činnosti vystavující fyzickou osobu zvýšenému ohrožení života nebo poškození zdraví předložit certifikát s minimálně druhým kvalifikačním stupněm "Samostatný potápěč" s kvalifikací AOWD (Advanced Open Water Diver, nebo P2 - Potápěč se dvěma hvězdami), podle aktuálně platné technické normy ČSN EN ISO 24801-2 (761301) Rekreační potápění - Požadavky na výcvik rekreačních potápěčů v přístrojovém potápění - Část 2: 2. kvalifikační stupeň - Samostatný potápěč (norma k přímému použití jako ČSN).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bezpečný způsob manipulace s potápěčskou výstrojí, přístroji a technikou;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správné a samostatné ošetřování potápěčské techniky;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 využívání komunikačních prostředků a techniky související s pracovním potápěním;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bezpečné provádění všech úkonů, kvalitu provedeného úkolu a na časové hledisko zvládání operací při praktickém ponoru;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správného technického názvosloví.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musí být dodržena všechna pravidla pro provádění pracovních činností, která vyplývají z příslušných ustanovení nařízení vlády č. 591/2006 Sb., v aktuálním znění.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způsobem praktické předvedení a ústní ověření v praktické části zkoušky realizované nad hladinou bude provedeno ve vhodném prostoru (učebna, skříňová nástavba, stavební buňka apod.)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ACA83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