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2A0355" Type="http://schemas.openxmlformats.org/officeDocument/2006/relationships/officeDocument" Target="/word/document.xml" /><Relationship Id="coreR5D2A0355" Type="http://schemas.openxmlformats.org/package/2006/relationships/metadata/core-properties" Target="/docProps/core.xml" /><Relationship Id="customR5D2A03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Aplikace lakovacích materiálů pomocí pneumatických stříkacích pistolí, seřízení, ošetřování a údržba stříkacích pistolí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zařízení lakovny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Určení správného odstínu a jeho namíchání, základy koloristiky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18.09.2011 do: 15.02.2017</w:t>
      </w:r>
    </w:p>
    <w:p>
      <w:pPr>
        <w:pStyle w:val="P21"/>
        <w:framePr w:w="7654" w:h="331" w:hRule="exact" w:wrap="none" w:vAnchor="page" w:hAnchor="margin" w:x="28" w:y="15940"/>
        <w:rPr>
          <w:rStyle w:val="C16"/>
          <w:rtl w:val="0"/>
        </w:rPr>
      </w:pPr>
      <w:r>
        <w:rPr>
          <w:rStyle w:val="C16"/>
          <w:rtl w:val="0"/>
        </w:rPr>
        <w:t>Autolakýrník - finální povrchová úprava, 29.4.2026 1:19:52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ochranné pomůcky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pomůcky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charakterizovat a dodržet zásady požární ochrany, způsoby skladování a manipulace s nebezpečnými látkami v průběhu zkoušky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spolu s ústním ověřením</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Vyjmenovat, charakterizovat a dodržet zásady nakládání s odpady v průběhu zkoušky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spolu s ústním ověřením</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Znát předpisy BOZP v oblasti lakování vozidel</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nebo 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ve složení a základních vlastnostech nátěrových hmot</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Charakterizovat vlastnosti a použití jednotlivých druhů nátěrových hmot podle složení, účelu a jejich použití v technologickém sledu (tmely, základy, plniče, podkladové a vrchní laky)</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Písemné ověření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Písemné nebo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Písemné nebo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Hodnocení kvality podkladových vrstev části karoserie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Stanovit způsoby a prostředky pro očištění, odmaštění, odstranění starých nátěrových systémů a zbytkových lepidel z opravovaného podkladu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 spolu s ústním ověřením</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Posoudit stav a kvalitu podkladových vrstev před lakováním</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s ústním komentářem nad připraveným vzorkem</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Měřit tloušťky vrstev laku tloušťkoměrem</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 s ústním ověřením</w:t>
      </w:r>
    </w:p>
    <w:p>
      <w:pPr>
        <w:pStyle w:val="P32"/>
        <w:framePr w:w="10710" w:h="248" w:hRule="exact" w:wrap="none" w:vAnchor="page" w:hAnchor="margin" w:x="28" w:y="13257"/>
        <w:rPr>
          <w:rStyle w:val="C23"/>
          <w:rtl w:val="0"/>
        </w:rPr>
      </w:pPr>
      <w:r>
        <w:rPr>
          <w:rStyle w:val="C23"/>
          <w:rtl w:val="0"/>
        </w:rPr>
        <w:t>Je třeba splnit všechna kritéria.</w:t>
      </w:r>
    </w:p>
    <w:p>
      <w:pPr>
        <w:pStyle w:val="P23"/>
        <w:framePr w:w="10710" w:h="340" w:hRule="exact" w:wrap="none" w:vAnchor="page" w:hAnchor="margin" w:x="28" w:y="13692"/>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14131"/>
        <w:rPr>
          <w:rStyle w:val="C3"/>
          <w:rtl w:val="0"/>
        </w:rPr>
      </w:pPr>
    </w:p>
    <w:p>
      <w:pPr>
        <w:pStyle w:val="P25"/>
        <w:framePr w:w="6661" w:h="249" w:hRule="exact" w:wrap="none" w:vAnchor="page" w:hAnchor="margin" w:x="71" w:y="14202"/>
        <w:rPr>
          <w:rStyle w:val="C19"/>
          <w:rtl w:val="0"/>
        </w:rPr>
      </w:pPr>
      <w:r>
        <w:rPr>
          <w:rStyle w:val="C19"/>
          <w:rtl w:val="0"/>
        </w:rPr>
        <w:t>Kritéria hodnocení</w:t>
      </w:r>
    </w:p>
    <w:p>
      <w:pPr>
        <w:pStyle w:val="P26"/>
        <w:framePr w:w="3918" w:h="376" w:hRule="exact" w:wrap="none" w:vAnchor="page" w:hAnchor="margin" w:x="6803" w:y="14131"/>
        <w:rPr>
          <w:rStyle w:val="C3"/>
          <w:rtl w:val="0"/>
        </w:rPr>
      </w:pPr>
    </w:p>
    <w:p>
      <w:pPr>
        <w:pStyle w:val="P27"/>
        <w:framePr w:w="3836" w:h="249" w:hRule="exact" w:wrap="none" w:vAnchor="page" w:hAnchor="margin" w:x="6859" w:y="14202"/>
        <w:rPr>
          <w:rStyle w:val="C20"/>
          <w:rtl w:val="0"/>
        </w:rPr>
      </w:pPr>
      <w:r>
        <w:rPr>
          <w:rStyle w:val="C20"/>
          <w:rtl w:val="0"/>
        </w:rPr>
        <w:t>Způsoby ověření</w:t>
      </w:r>
    </w:p>
    <w:p>
      <w:pPr>
        <w:pStyle w:val="P12"/>
        <w:framePr w:w="6710" w:h="607" w:hRule="exact" w:wrap="none" w:vAnchor="page" w:hAnchor="margin" w:x="45" w:y="14508"/>
        <w:rPr>
          <w:rStyle w:val="C3"/>
          <w:rtl w:val="0"/>
        </w:rPr>
      </w:pPr>
    </w:p>
    <w:p>
      <w:pPr>
        <w:pStyle w:val="P13"/>
        <w:framePr w:w="6658" w:h="480" w:hRule="exact" w:wrap="none" w:vAnchor="page" w:hAnchor="margin" w:x="71" w:y="14564"/>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14508"/>
        <w:rPr>
          <w:rStyle w:val="C3"/>
          <w:rtl w:val="0"/>
        </w:rPr>
      </w:pPr>
    </w:p>
    <w:p>
      <w:pPr>
        <w:pStyle w:val="P29"/>
        <w:framePr w:w="3839" w:h="480" w:hRule="exact" w:wrap="none" w:vAnchor="page" w:hAnchor="margin" w:x="6856" w:y="14564"/>
        <w:rPr>
          <w:rStyle w:val="C21"/>
          <w:rtl w:val="0"/>
        </w:rPr>
      </w:pPr>
      <w:r>
        <w:rPr>
          <w:rStyle w:val="C21"/>
          <w:rtl w:val="0"/>
        </w:rPr>
        <w:t>Písemné nebo ústní ověření</w:t>
      </w:r>
    </w:p>
    <w:p>
      <w:pPr>
        <w:pStyle w:val="P16"/>
        <w:framePr w:w="6710" w:h="376" w:hRule="exact" w:wrap="none" w:vAnchor="page" w:hAnchor="margin" w:x="45" w:y="15115"/>
        <w:rPr>
          <w:rStyle w:val="C3"/>
          <w:rtl w:val="0"/>
        </w:rPr>
      </w:pPr>
    </w:p>
    <w:p>
      <w:pPr>
        <w:pStyle w:val="P17"/>
        <w:framePr w:w="6658" w:h="249" w:hRule="exact" w:wrap="none" w:vAnchor="page" w:hAnchor="margin" w:x="71" w:y="15171"/>
        <w:rPr>
          <w:rStyle w:val="C13"/>
          <w:rtl w:val="0"/>
        </w:rPr>
      </w:pPr>
      <w:r>
        <w:rPr>
          <w:rStyle w:val="C13"/>
          <w:rtl w:val="0"/>
        </w:rPr>
        <w:t>b) Popsat způsoby prevence vzniku vad nátěrových systémů</w:t>
      </w:r>
    </w:p>
    <w:p>
      <w:pPr>
        <w:pStyle w:val="P30"/>
        <w:framePr w:w="3921" w:h="376" w:hRule="exact" w:wrap="none" w:vAnchor="page" w:hAnchor="margin" w:x="6800" w:y="15115"/>
        <w:rPr>
          <w:rStyle w:val="C3"/>
          <w:rtl w:val="0"/>
        </w:rPr>
      </w:pPr>
    </w:p>
    <w:p>
      <w:pPr>
        <w:pStyle w:val="P31"/>
        <w:framePr w:w="3839" w:h="249" w:hRule="exact" w:wrap="none" w:vAnchor="page" w:hAnchor="margin" w:x="6856" w:y="15171"/>
        <w:rPr>
          <w:rStyle w:val="C22"/>
          <w:rtl w:val="0"/>
        </w:rPr>
      </w:pPr>
      <w:r>
        <w:rPr>
          <w:rStyle w:val="C22"/>
          <w:rtl w:val="0"/>
        </w:rPr>
        <w:t>Písemné nebo ústní ověření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finální povrchová úprava, 29.4.2026 1:19:52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oprav nátěrových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skladby nátěrových systémů v automobilovém průmyslu a opravárenství; vysvětlit jejich rozdíly a použití (charakterizovat všechny části nátěrového systému – základová barva, tmel, plnič, příp. základový plnič, vrchní lak BC, bezbarvý krycí lak, vrchní lak SOLID)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Písemné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Stanovit a popsat podmínky aplikace jednotlivých technologických vrstev nátěrového systému na základě předložené technické a technologické dokumentace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Písemné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Určit a popsat skladbu nátěrového systému a postup opravy pro daný typ podkladu – plasty, Fe kovy, Al a lehké slitiny, galvanicky pozinkované Fe kovy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Zvolit správný druh tužidel a ředidel v závislosti na rozsahu opravy a teploty objektu a prostředí</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technologické zásady a technické podmínky lakování plastových dílů karosérie</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technologické zásady a technické podmínky lakování hliníkových částí karosérie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Písemné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Písemné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Maskování vozidla</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Popsat způsoby a postupy maskování vozidel podle typu 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Praktické předvedení s ústním komentářem</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Zvolit a použít vhodné prostředky maskování opravované části karoserie</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Praktické předvedení spolu s ústním ověřením</w:t>
      </w:r>
    </w:p>
    <w:p>
      <w:pPr>
        <w:pStyle w:val="P32"/>
        <w:framePr w:w="10710" w:h="248" w:hRule="exact" w:wrap="none" w:vAnchor="page" w:hAnchor="margin" w:x="28" w:y="12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finální povrchová úprava, 29.4.2026 1:19:52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lakovacích materiálů pomocí pneumatických stříkacích pistolí, seřízení, ošetřování a údržba stříkacích pistolí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druhy stříkacích pistolí a jejich použití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princip, nastavit a seřídit pneumatickou stříkací pistoli pro aplikaci určené nátěrové hmoty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spolu s ústním ověřením</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Provést stříkání metalizovaných, perleťových nebo metalicko-perleťových receptur včetně bezbarvého krycího laku (zvolit vhodnou pneumatickou stříkací pistoly a trysku, seřízení, tlak, vzdálenost, sklon a rychlost stříkání)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spolu s ústním ověřením</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drobnou (spotovou) opravu technikou do rozstřiku</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spolu s ústním ověřením</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Čistit pneumatickou stříkací pistoli a charakterizovat zásady její údržby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spolu s ústním ověřením</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Obsluha zařízení lakovny</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obsluhovat a provádět údržbu systému pro výrobu a rozvod stlačeného vzduchu</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nebo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Popsat princip, ovládání a údržba kombinovaných lakovacích a sušících kabin</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spolu s ústním ověřením</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c) Obsluhovat mobilní sušící zařízení (IR zářič, Venturi -ofukovací pistole atd.)</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spolu s ústním ověřením</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d) Obsluhovat zdvihací a manipulační zařízení</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spolu s ústním ověřením</w:t>
      </w:r>
    </w:p>
    <w:p>
      <w:pPr>
        <w:pStyle w:val="P12"/>
        <w:framePr w:w="6710" w:h="607" w:hRule="exact" w:wrap="none" w:vAnchor="page" w:hAnchor="margin" w:x="45" w:y="9997"/>
        <w:rPr>
          <w:rStyle w:val="C3"/>
          <w:rtl w:val="0"/>
        </w:rPr>
      </w:pPr>
    </w:p>
    <w:p>
      <w:pPr>
        <w:pStyle w:val="P13"/>
        <w:framePr w:w="6658" w:h="480" w:hRule="exact" w:wrap="none" w:vAnchor="page" w:hAnchor="margin" w:x="71" w:y="10053"/>
        <w:rPr>
          <w:rStyle w:val="C11"/>
          <w:rtl w:val="0"/>
        </w:rPr>
      </w:pPr>
      <w:r>
        <w:rPr>
          <w:rStyle w:val="C11"/>
          <w:rtl w:val="0"/>
        </w:rPr>
        <w:t>e) Obsluhovat a provést údržbu myčky pneumatických stříkacích pistolí</w:t>
      </w:r>
    </w:p>
    <w:p>
      <w:pPr>
        <w:pStyle w:val="P28"/>
        <w:framePr w:w="3921" w:h="607" w:hRule="exact" w:wrap="none" w:vAnchor="page" w:hAnchor="margin" w:x="6800" w:y="9997"/>
        <w:rPr>
          <w:rStyle w:val="C3"/>
          <w:rtl w:val="0"/>
        </w:rPr>
      </w:pPr>
    </w:p>
    <w:p>
      <w:pPr>
        <w:pStyle w:val="P29"/>
        <w:framePr w:w="3839" w:h="480" w:hRule="exact" w:wrap="none" w:vAnchor="page" w:hAnchor="margin" w:x="6856" w:y="10053"/>
        <w:rPr>
          <w:rStyle w:val="C21"/>
          <w:rtl w:val="0"/>
        </w:rPr>
      </w:pPr>
      <w:r>
        <w:rPr>
          <w:rStyle w:val="C21"/>
          <w:rtl w:val="0"/>
        </w:rPr>
        <w:t>Praktické předvedení spolu s ústním ověřením</w:t>
      </w:r>
    </w:p>
    <w:p>
      <w:pPr>
        <w:pStyle w:val="P16"/>
        <w:framePr w:w="6710" w:h="607" w:hRule="exact" w:wrap="none" w:vAnchor="page" w:hAnchor="margin" w:x="45" w:y="10604"/>
        <w:rPr>
          <w:rStyle w:val="C3"/>
          <w:rtl w:val="0"/>
        </w:rPr>
      </w:pPr>
    </w:p>
    <w:p>
      <w:pPr>
        <w:pStyle w:val="P17"/>
        <w:framePr w:w="6658" w:h="480" w:hRule="exact" w:wrap="none" w:vAnchor="page" w:hAnchor="margin" w:x="71" w:y="10660"/>
        <w:rPr>
          <w:rStyle w:val="C13"/>
          <w:rtl w:val="0"/>
        </w:rPr>
      </w:pPr>
      <w:r>
        <w:rPr>
          <w:rStyle w:val="C13"/>
          <w:rtl w:val="0"/>
        </w:rPr>
        <w:t>f) Obsluhovat míchací zařízení a váhy; vyhledat recepturu a určit poměr komponentů nátěrových hmot s využitím specializovaného software</w:t>
      </w:r>
    </w:p>
    <w:p>
      <w:pPr>
        <w:pStyle w:val="P30"/>
        <w:framePr w:w="3921" w:h="607" w:hRule="exact" w:wrap="none" w:vAnchor="page" w:hAnchor="margin" w:x="6800" w:y="10604"/>
        <w:rPr>
          <w:rStyle w:val="C3"/>
          <w:rtl w:val="0"/>
        </w:rPr>
      </w:pPr>
    </w:p>
    <w:p>
      <w:pPr>
        <w:pStyle w:val="P31"/>
        <w:framePr w:w="3839" w:h="480" w:hRule="exact" w:wrap="none" w:vAnchor="page" w:hAnchor="margin" w:x="6856" w:y="10660"/>
        <w:rPr>
          <w:rStyle w:val="C22"/>
          <w:rtl w:val="0"/>
        </w:rPr>
      </w:pPr>
      <w:r>
        <w:rPr>
          <w:rStyle w:val="C22"/>
          <w:rtl w:val="0"/>
        </w:rPr>
        <w:t>Praktické předvedení spolu s ústním ověřením</w:t>
      </w:r>
    </w:p>
    <w:p>
      <w:pPr>
        <w:pStyle w:val="P32"/>
        <w:framePr w:w="10710" w:h="248" w:hRule="exact" w:wrap="none" w:vAnchor="page" w:hAnchor="margin" w:x="28" w:y="11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29.4.2026 1:19:52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receptury a zásad při dotónování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Určit barevný odstín s použitím color boxu, případně s pomocí spektrofotometru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ověřením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recepturu stanoveného barevného odstínu (varianty) pomocí koloristického softwaru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 ústním ověřením</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Namíchat stanovený barevný odstín pomocí míchací stolice a PC</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s ústním ověřením</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ověřením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Ověřit shodu aplikovaného barevného odstínu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ověřením</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29.4.2026 1:19:52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http://katalog.nsp.cz/karta_tp.aspx?id_jp=30739&amp;kod_sm1=37).</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technologických postupů</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uchazeče – minimální úroveň je dána základním vzděláním, úroveň 1</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některých kritérií je možné zvolit mezi písemným a ústním ověřením. Rozhodnutí je v kompetenci autorizované osoby zejména podle počtu uchazečů o zkoušku.</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80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Autolakýrník - finální povrchová úprava, 29.4.2026 1:19:52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technického směru a alespoň 5 let odborné praxe v oblasti povrchových úprav vozidel,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technického směru a alespoň 5 let odborné praxe v oblasti povrchových úprav vozidel nebo ve funkci učitele odborných předmětů,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Autolakýrník - finální povrchová úprava, 29.4.2026 1:19:52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školicím středisku nebo autolakovně splňující všechny platné zákonné normy a předpisy (ČSN EN 12757-1, ČSN EN 12215+A1, ČSN EN 13355+A1) ve znění aktualizací a doplňků.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nebo autolakovna musí být vybaveny: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přípravna (přípravné stání)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sušící kabina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sušící zařízení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stabilní zařízení na výrobu, úpravu a rozvody tlakového vzduchu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míchací zařízení včetně digitální váhy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nalezení receptury odstínů barev</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stříkané vzorkovnice pro určení odstínu lakovaných povrchů všech typů osobních automobilů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a pomůcky (stříkací pistole, kelímky, měrky, brusky s odsáváním, vysavače, ruční nářadí na demontáž a montáž dílů karoserie)</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pomocné materiály pro aplikaci všech vrstev laku, pro maskování vozidel, broušení a leštění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(respirátor prachový P2, respirátor s aktivním uhlím A2, kombinéza, brýle, rukavice, mimo obuvi)</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k výše uvedeným produktům použitým při zkoušce (materiálové, technologické a bezpečnostní listy)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realizaci teoretické části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části (díly) karoserií (blatníky, kapoty, dveře) pro jednoho uchazeče jsou zapotřebí minimálně tři díly karosérie pro ověřování kompetencí „Hodnocení kvality podkladových vrstev části karoserie“ a „Aplikace lakovacích materiálů pomoci pneumatických stříkacích pistolí“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jeden díl karosérie pro každého uchazeče k vlastnímu lakování formou aplikace všech podkladových vrstev</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2 kompletní vozidla (bližší specifikace uvedena v metodických doporučeních)</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myčka stříkacích pistolí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hydraulické manipulační a zdvihací zařízení (sloupový nebo nůžkový zvedák)</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103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45minut. Do doby přípravy na zkoušku se nezapočítává doba na seznámení uchazeče s pracovištěm a s požadavky BOZP a PO.</w:t>
      </w:r>
    </w:p>
    <w:p>
      <w:pPr>
        <w:pStyle w:val="P33"/>
        <w:framePr w:w="10766" w:h="1146" w:hRule="exact" w:wrap="none" w:vAnchor="page" w:hAnchor="margin" w:x="0" w:y="11913"/>
        <w:rPr>
          <w:rStyle w:val="C3"/>
          <w:rtl w:val="0"/>
        </w:rPr>
      </w:pPr>
    </w:p>
    <w:p>
      <w:pPr>
        <w:pStyle w:val="P35"/>
        <w:framePr w:w="10710" w:h="340" w:hRule="exact" w:wrap="none" w:vAnchor="page" w:hAnchor="margin" w:x="28" w:y="11913"/>
        <w:rPr>
          <w:rStyle w:val="C25"/>
          <w:rtl w:val="0"/>
        </w:rPr>
      </w:pPr>
      <w:r>
        <w:rPr>
          <w:rStyle w:val="C25"/>
          <w:rtl w:val="0"/>
        </w:rPr>
        <w:t>Doba pro vykonání zkoušky</w:t>
      </w:r>
    </w:p>
    <w:p>
      <w:pPr>
        <w:keepNext w:val="0"/>
        <w:keepLines w:val="0"/>
        <w:framePr w:w="10766" w:h="806" w:hRule="exact" w:wrap="none" w:vAnchor="page" w:hAnchor="margin" w:x="0" w:y="12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Autolakýrník - finální povrchová úprava, 29.4.2026 1:19:52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v SR pro ostatní služby, v níž byly zastoupeny: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ústav odborného vzdělávání v Praze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(SAČR)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AUTOLAKY MIKOS,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INTERACTION,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spol.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pStyle w:val="P21"/>
        <w:framePr w:w="7654" w:h="331" w:hRule="exact" w:wrap="none" w:vAnchor="page" w:hAnchor="margin" w:x="28" w:y="15940"/>
        <w:rPr>
          <w:rStyle w:val="C16"/>
          <w:rtl w:val="0"/>
        </w:rPr>
      </w:pPr>
      <w:r>
        <w:rPr>
          <w:rStyle w:val="C16"/>
          <w:rtl w:val="0"/>
        </w:rPr>
        <w:t>Autolakýrník - finální povrchová úprava, 29.4.2026 1:19:52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