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E5FCF" Type="http://schemas.openxmlformats.org/officeDocument/2006/relationships/officeDocument" Target="/word/document.xml" /><Relationship Id="coreRC9E5FCF" Type="http://schemas.openxmlformats.org/package/2006/relationships/metadata/core-properties" Target="/docProps/core.xml" /><Relationship Id="customRC9E5F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Autolakýrník/autolakýrnice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Autolakýrník/autolakýrnice – finální povrchová úprava + střední vzdělání s maturitní zkouškou a alespoň 5 let odborné praxe v povrchové úpravě vozidel.</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Autolakýrník/autolakýrnice – finální povrchová úprava, 27.10.2026 1:28:11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8A2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DC6BF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85E7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