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517C2E" Type="http://schemas.openxmlformats.org/officeDocument/2006/relationships/officeDocument" Target="/word/document.xml" /><Relationship Id="coreR60517C2E" Type="http://schemas.openxmlformats.org/package/2006/relationships/metadata/core-properties" Target="/docProps/core.xml" /><Relationship Id="customR60517C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- přípravář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druhu a rozsahu poškození vozidla a následná volba technologického postupu a rozsahu 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Maskování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povrchu karoserie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příprava a aplikace podkladových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obsluha zařízení lakovny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podkladových nátěrových hmot pneumatickými stříkacími pistolemi. Seřízení, ošetřování a údržba stříkacích pistolí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Oprava lakovaných povrchů broušením a leštěním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Demontáž a montáž drobných částí karosérií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18.09.2011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29.10.2026 0:03:10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http://katalog.nsp.cz/karta_tp.aspx?id_jp=30739&amp;kod_sm1=37).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technologických postupů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uchazeče – minimální úroveň je dána základním vzděláním, úroveň 1.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některých kritérií je možné zvolit mezi písemným a ústním ověřením. Rozhodnutí je v kompetenci autorizované osoby zejména podle počtu uchazečů o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29.10.2026 0:03:10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v SR pro ostatní služby, v níž byly zastoupeny: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OHK Klatovy Petr Havrda Consulting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prodejců a opravářů motorových vozidel ČR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ústav odborného vzdělávání v Praze 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 (SAČR)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AUTOLAKY MIKOS,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INTERACTION,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spol. s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29.10.2026 0:03:10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