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392F0A" Type="http://schemas.openxmlformats.org/officeDocument/2006/relationships/officeDocument" Target="/word/document.xml" /><Relationship Id="coreR31392F0A" Type="http://schemas.openxmlformats.org/package/2006/relationships/metadata/core-properties" Target="/docProps/core.xml" /><Relationship Id="customR31392F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nátěrových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Oprava lakovaných povrchů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Demontáž a montáž drobných částí karosérií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29.10.2026 0:02:59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"https://nsp.cz/jednotka-prace/autolakyrnik"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https://nsp.cz/jednotka-prace/autolakyrnik#zdravotni-zpusobilost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6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hodnocení u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povrchu karoserie, Volba, příprava a aplikace podkladových nátěrových hmot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Aplikace podkladových nátěrových hmot pneumatickými stříkacími pistolemi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splnit minimálně na 90% plochy určeného dílu karoserie vozidla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29.10.2026 0:02:59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– přípravář / autolakýrnice – přípravářka, 29.10.2026 0:02:59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AF8D2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