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7E89E8" Type="http://schemas.openxmlformats.org/officeDocument/2006/relationships/officeDocument" Target="/word/document.xml" /><Relationship Id="coreRF7E89E8" Type="http://schemas.openxmlformats.org/package/2006/relationships/metadata/core-properties" Target="/docProps/core.xml" /><Relationship Id="customRF7E89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– přípravář / autolakýrnice – přípravářka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nátěrových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Seřízení, ošetření a údržba pneumatických stříkacích pistolí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Oprava lakovaných povrchů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Demontáž a montáž drobných částí karosérií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13.6.2026 8:11:24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"https://nsp.cz/jednotka-prace/autolakyrnik"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https://nsp.cz/jednotka-prace/autolakyrnik#zdravotni-zpusobilost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6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hodnocení u odborné způsobilosti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povrchu karoserie, Volba, příprava a aplikace podkladových nátěrových hmot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Aplikace podkladových nátěrových hmot pneumatickými stříkacími pistolemi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splnit minimálně na 90% plochy určeného dílu karoserie vozidla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13.6.2026 8:11:24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Miroslav Košťál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Interaktion,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– přípravář / autolakýrnice – přípravářka, 13.6.2026 8:11:24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CFA8F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