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760B62E" Type="http://schemas.openxmlformats.org/officeDocument/2006/relationships/officeDocument" Target="/word/document.xml" /><Relationship Id="coreR2760B62E" Type="http://schemas.openxmlformats.org/package/2006/relationships/metadata/core-properties" Target="/docProps/core.xml" /><Relationship Id="customR2760B62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Servisní pracovník/pracovnice u zákazníků (kód: 69-013-H)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Servisní pracovník u zákazníka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Komunikace se zákazníkem a péče o zákazníka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Řešení náročných situací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Zajištění administrace zakázky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příslušné legislativě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4283" w:h="248" w:hRule="exact" w:wrap="none" w:vAnchor="page" w:hAnchor="margin" w:x="28" w:y="7691"/>
        <w:rPr>
          <w:rStyle w:val="C15"/>
          <w:rtl w:val="0"/>
        </w:rPr>
      </w:pPr>
      <w:r>
        <w:rPr>
          <w:rStyle w:val="C15"/>
          <w:rtl w:val="0"/>
        </w:rPr>
        <w:t>Standard je platný od: 21.10.2022 do: 18.02.2026</w:t>
      </w:r>
    </w:p>
    <w:p>
      <w:pPr>
        <w:pStyle w:val="P21"/>
        <w:framePr w:w="7654" w:h="331" w:hRule="exact" w:wrap="none" w:vAnchor="page" w:hAnchor="margin" w:x="28" w:y="15940"/>
        <w:rPr>
          <w:rStyle w:val="C16"/>
          <w:rtl w:val="0"/>
        </w:rPr>
      </w:pPr>
      <w:r>
        <w:rPr>
          <w:rStyle w:val="C16"/>
          <w:rtl w:val="0"/>
        </w:rPr>
        <w:t>Servisní pracovník/pracovnice u zákazníků, 4.8.2026 3:03:17</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7548"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Dále stanoví, které pomůcky uchazeč při zkoušce smí používat. </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Zdravotní způsobilost není vyžadována. </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si musí připravit minimálně 10 modelových situací pro praktickou část zkoušky, které musí být použity tak, aby ověřily všechny kompetence. Ústní část zkoušky je vhodné vést formou rozhovoru, autorizovaná osoba se může doptávat na upřesnění. Pro ověření kompetence Orientace v příslušné legislativě je vhodné připravit sadu minimálně 5 otázek s uzavřenými nebo otevřenými možnostmi odpovědí. V případě, že se autorizovaná osoba rozhodne pro ověření s využitím testu, je povinna postupovat podle pravidel pro aplikaci testů jako způsobu ověřování.</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Tato DK navazuje na kvalifikace řemeslného či službového charakteru týkající se instalace, servisu a opravy zařízení a vybavení domácností i firem. </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testů jako způsobu ověřování</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otázek, aby bylo umožněno řádově několik desítek různě sestavených testů.</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splněné následující podmínky:</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B1. Pro celkový soubor otázek, z něhož se generují jednotlivé testy: </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každé kritérium existuje několik otázek. </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B2. Pro jednotlivé vygenerované testy: </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alespoň jednu otázku.</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B3. Pro úspěšné splnění požadavků testu: </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70 % správně zodpovězených otázek s tím, že pro každé kritérium musí být správně zodpovězeno alespoň 50 % otázek.</w:t>
      </w:r>
    </w:p>
    <w:p>
      <w:pPr>
        <w:pStyle w:val="P21"/>
        <w:framePr w:w="7654" w:h="331" w:hRule="exact" w:wrap="none" w:vAnchor="page" w:hAnchor="margin" w:x="28" w:y="15940"/>
        <w:rPr>
          <w:rStyle w:val="C16"/>
          <w:rtl w:val="0"/>
        </w:rPr>
      </w:pPr>
      <w:r>
        <w:rPr>
          <w:rStyle w:val="C16"/>
          <w:rtl w:val="0"/>
        </w:rPr>
        <w:t>Servisní pracovník/pracovnice u zákazníků, 4.8.2026 3:03:17</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4704"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byl připraven SR pro management a administrativu, v níž byly zastoupeny:</w:t>
      </w:r>
    </w:p>
    <w:p>
      <w:pPr>
        <w:keepNext w:val="0"/>
        <w:keepLines w:val="0"/>
        <w:framePr w:w="10766" w:h="4704"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Kooperativa Pojišťovna</w:t>
      </w:r>
    </w:p>
    <w:p>
      <w:pPr>
        <w:keepNext w:val="0"/>
        <w:keepLines w:val="0"/>
        <w:framePr w:w="10766" w:h="4704"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Lease Plan ČR, s. r. o.</w:t>
      </w:r>
    </w:p>
    <w:p>
      <w:pPr>
        <w:keepNext w:val="0"/>
        <w:keepLines w:val="0"/>
        <w:framePr w:w="10766" w:h="4704"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Management Consulting</w:t>
      </w:r>
    </w:p>
    <w:p>
      <w:pPr>
        <w:keepNext w:val="0"/>
        <w:keepLines w:val="0"/>
        <w:framePr w:w="10766" w:h="4704"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RPIC – ViP, s. r. o.</w:t>
      </w:r>
    </w:p>
    <w:p>
      <w:pPr>
        <w:keepNext w:val="0"/>
        <w:keepLines w:val="0"/>
        <w:framePr w:w="10766" w:h="4704"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Johnson Controls </w:t>
      </w:r>
    </w:p>
    <w:p>
      <w:pPr>
        <w:keepNext w:val="0"/>
        <w:keepLines w:val="0"/>
        <w:framePr w:w="10766" w:h="4704"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Baest, a. s.</w:t>
      </w:r>
    </w:p>
    <w:p>
      <w:pPr>
        <w:keepNext w:val="0"/>
        <w:keepLines w:val="0"/>
        <w:framePr w:w="10766" w:h="4704"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Avia Ashok Leyland Motors</w:t>
      </w:r>
    </w:p>
    <w:p>
      <w:pPr>
        <w:keepNext w:val="0"/>
        <w:keepLines w:val="0"/>
        <w:framePr w:w="10766" w:h="4704"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poskytovatelů personálních služeb</w:t>
      </w:r>
    </w:p>
    <w:p>
      <w:pPr>
        <w:keepNext w:val="0"/>
        <w:keepLines w:val="0"/>
        <w:framePr w:w="10766" w:h="4704"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ČEZ, a. s.</w:t>
      </w:r>
    </w:p>
    <w:p>
      <w:pPr>
        <w:keepNext w:val="0"/>
        <w:keepLines w:val="0"/>
        <w:framePr w:w="10766" w:h="4704"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UniCredit Bank Czech Republic</w:t>
      </w:r>
    </w:p>
    <w:p>
      <w:pPr>
        <w:keepNext w:val="0"/>
        <w:keepLines w:val="0"/>
        <w:framePr w:w="10766" w:h="4704"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VZP ČR</w:t>
      </w:r>
    </w:p>
    <w:p>
      <w:pPr>
        <w:keepNext w:val="0"/>
        <w:keepLines w:val="0"/>
        <w:framePr w:w="10766" w:h="4704"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Trexima, spol. s r. o.</w:t>
      </w:r>
    </w:p>
    <w:p>
      <w:pPr>
        <w:keepNext w:val="0"/>
        <w:keepLines w:val="0"/>
        <w:framePr w:w="10766" w:h="4704"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Ministerstvo práce a sociálních věcí </w:t>
      </w:r>
    </w:p>
    <w:p>
      <w:pPr>
        <w:keepNext w:val="0"/>
        <w:keepLines w:val="0"/>
        <w:framePr w:w="10766" w:h="4704"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Národní ústav odborného vzdělávání v Praze </w:t>
      </w:r>
    </w:p>
    <w:p>
      <w:pPr>
        <w:keepNext w:val="0"/>
        <w:keepLines w:val="0"/>
        <w:framePr w:w="10766" w:h="4704"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04"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kvalifikačního standardu se dále podílely tyto subjekty:</w:t>
      </w:r>
    </w:p>
    <w:p>
      <w:pPr>
        <w:keepNext w:val="0"/>
        <w:keepLines w:val="0"/>
        <w:framePr w:w="10766" w:h="4704"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BUSINESS LINK, s. r. o.</w:t>
      </w:r>
    </w:p>
    <w:p>
      <w:pPr>
        <w:keepNext w:val="0"/>
        <w:keepLines w:val="0"/>
        <w:framePr w:w="10766" w:h="4704"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PROCORTEX</w:t>
      </w:r>
    </w:p>
    <w:p>
      <w:pPr>
        <w:keepNext w:val="0"/>
        <w:keepLines w:val="0"/>
        <w:framePr w:w="10766" w:h="4704"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Telefónica O2 Czech Republic, a.s.</w:t>
      </w:r>
    </w:p>
    <w:p>
      <w:pPr>
        <w:pStyle w:val="P21"/>
        <w:framePr w:w="7654" w:h="331" w:hRule="exact" w:wrap="none" w:vAnchor="page" w:hAnchor="margin" w:x="28" w:y="15940"/>
        <w:rPr>
          <w:rStyle w:val="C16"/>
          <w:rtl w:val="0"/>
        </w:rPr>
      </w:pPr>
      <w:r>
        <w:rPr>
          <w:rStyle w:val="C16"/>
          <w:rtl w:val="0"/>
        </w:rPr>
        <w:t>Servisní pracovník/pracovnice u zákazníků, 4.8.2026 3:03:17</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