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4F3F410" Type="http://schemas.openxmlformats.org/officeDocument/2006/relationships/officeDocument" Target="/word/document.xml" /><Relationship Id="coreR14F3F410" Type="http://schemas.openxmlformats.org/package/2006/relationships/metadata/core-properties" Target="/docProps/core.xml" /><Relationship Id="customR14F3F41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Servisní pracovník u zákazníka (kód: 69-013-H)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Servisní pracovník u zákazníka</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Komunikace se zákazníkem a péče o zákazníka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Řešení náročných situací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Zajištění administrace zakázky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příslušné legislativě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7"/>
        <w:framePr w:w="8788" w:h="340" w:hRule="exact" w:wrap="none" w:vAnchor="page" w:hAnchor="margin" w:x="28" w:y="7351"/>
        <w:rPr>
          <w:rStyle w:val="C8"/>
          <w:rtl w:val="0"/>
        </w:rPr>
      </w:pPr>
      <w:r>
        <w:rPr>
          <w:rStyle w:val="C8"/>
          <w:rtl w:val="0"/>
        </w:rPr>
        <w:t>Platnost standardu</w:t>
      </w:r>
    </w:p>
    <w:p>
      <w:pPr>
        <w:pStyle w:val="P20"/>
        <w:framePr w:w="4283" w:h="248" w:hRule="exact" w:wrap="none" w:vAnchor="page" w:hAnchor="margin" w:x="28" w:y="7691"/>
        <w:rPr>
          <w:rStyle w:val="C15"/>
          <w:rtl w:val="0"/>
        </w:rPr>
      </w:pPr>
      <w:r>
        <w:rPr>
          <w:rStyle w:val="C15"/>
          <w:rtl w:val="0"/>
        </w:rPr>
        <w:t>Standard je platný od: 18.09.2011 do: 20.10.2022</w:t>
      </w:r>
    </w:p>
    <w:p>
      <w:pPr>
        <w:pStyle w:val="P21"/>
        <w:framePr w:w="7654" w:h="331" w:hRule="exact" w:wrap="none" w:vAnchor="page" w:hAnchor="margin" w:x="28" w:y="15940"/>
        <w:rPr>
          <w:rStyle w:val="C16"/>
          <w:rtl w:val="0"/>
        </w:rPr>
      </w:pPr>
      <w:r>
        <w:rPr>
          <w:rStyle w:val="C16"/>
          <w:rtl w:val="0"/>
        </w:rPr>
        <w:t>Servisní pracovník u zákazníka, 4.8.2026 3:02:10</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7548"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informuje, které doklady musí uchazeč předložit, aby zkouška proběhla v souladu s platnými právními předpisy. Dále stanoví, které pomůcky uchazeč při zkoušce smí používat. </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Zdravotní způsobilost není vyžadována. </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si musí připravit minimálně 10 modelových situací pro praktickou část zkoušky, které musí být použity tak, aby ověřily všechny kompetence. Ústní část zkoušky je vhodné vést formou rozhovoru, autorizovaná osoba se může doptávat na upřesnění. Pro ověření kompetence Orientace v příslušné legislativě je vhodné připravit sadu minimálně 5 otázek s uzavřenými nebo otevřenými možnostmi odpovědí. V případě, že se autorizovaná osoba rozhodne pro ověření s využitím testu, je povinna postupovat podle pravidel pro aplikaci testů jako způsobu ověřování.</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Tato DK navazuje na kvalifikace řemeslného či službového charakteru týkající se instalace, servisu a opravy zařízení a vybavení domácností i firem. </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Pravidla pro aplikaci testů jako způsobu ověřování</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otázek pro testy stanovuje autorizovaná osoba podle požadavků hodnoticího standardu Musí přitom splňovat následující pravidla:</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Testy pro jednotlivé uchazeče musí být generovány z dostatečně velkého souboru otázek, aby bylo umožněno řádově několik desítek různě sestavených testů.</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Při každé zkoušce musí být ověřeny všechny kompetence kvalifikačního standardu. To znamená, že v případě, kdy se některé kompetence nebo kritéria ověřují pomocí testů, musí být splněné následující podmínky:</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B1. Pro celkový soubor otázek, z něhož se generují jednotlivé testy: </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každé kritérium existuje několik otázek. </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B2. Pro jednotlivé vygenerované testy: </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Každý uchazeč má ve svém testu pro každé kritérium (u něhož je test způsobem ověření a v návaznosti na pokyn o tom, která kritéria je třeba u zkoušky splnit) alespoň jednu otázku.</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B3. Pro úspěšné splnění požadavků testu: </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 úspěšné splnění testu se považuje 70 % správně zodpovězených otázek s tím, že pro každé kritérium musí být správně zodpovězeno alespoň 50 % otázek.</w:t>
      </w:r>
    </w:p>
    <w:p>
      <w:pPr>
        <w:pStyle w:val="P21"/>
        <w:framePr w:w="7654" w:h="331" w:hRule="exact" w:wrap="none" w:vAnchor="page" w:hAnchor="margin" w:x="28" w:y="15940"/>
        <w:rPr>
          <w:rStyle w:val="C16"/>
          <w:rtl w:val="0"/>
        </w:rPr>
      </w:pPr>
      <w:r>
        <w:rPr>
          <w:rStyle w:val="C16"/>
          <w:rtl w:val="0"/>
        </w:rPr>
        <w:t>Servisní pracovník u zákazníka, 4.8.2026 3:02:10</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4704"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byl připraven SR pro management a administrativu, v níž byly zastoupeny:</w:t>
      </w:r>
    </w:p>
    <w:p>
      <w:pPr>
        <w:keepNext w:val="0"/>
        <w:keepLines w:val="0"/>
        <w:framePr w:w="10766" w:h="4704"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Kooperativa Pojišťovna</w:t>
      </w:r>
    </w:p>
    <w:p>
      <w:pPr>
        <w:keepNext w:val="0"/>
        <w:keepLines w:val="0"/>
        <w:framePr w:w="10766" w:h="4704"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Lease Plan ČR, s. r. o.</w:t>
      </w:r>
    </w:p>
    <w:p>
      <w:pPr>
        <w:keepNext w:val="0"/>
        <w:keepLines w:val="0"/>
        <w:framePr w:w="10766" w:h="4704"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Management Consulting</w:t>
      </w:r>
    </w:p>
    <w:p>
      <w:pPr>
        <w:keepNext w:val="0"/>
        <w:keepLines w:val="0"/>
        <w:framePr w:w="10766" w:h="4704"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RPIC – ViP, s. r. o.</w:t>
      </w:r>
    </w:p>
    <w:p>
      <w:pPr>
        <w:keepNext w:val="0"/>
        <w:keepLines w:val="0"/>
        <w:framePr w:w="10766" w:h="4704"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Johnson Controls </w:t>
      </w:r>
    </w:p>
    <w:p>
      <w:pPr>
        <w:keepNext w:val="0"/>
        <w:keepLines w:val="0"/>
        <w:framePr w:w="10766" w:h="4704"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Baest, a. s.</w:t>
      </w:r>
    </w:p>
    <w:p>
      <w:pPr>
        <w:keepNext w:val="0"/>
        <w:keepLines w:val="0"/>
        <w:framePr w:w="10766" w:h="4704"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Avia Ashok Leyland Motors</w:t>
      </w:r>
    </w:p>
    <w:p>
      <w:pPr>
        <w:keepNext w:val="0"/>
        <w:keepLines w:val="0"/>
        <w:framePr w:w="10766" w:h="4704"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poskytovatelů personálních služeb</w:t>
      </w:r>
    </w:p>
    <w:p>
      <w:pPr>
        <w:keepNext w:val="0"/>
        <w:keepLines w:val="0"/>
        <w:framePr w:w="10766" w:h="4704"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ČEZ, a. s.</w:t>
      </w:r>
    </w:p>
    <w:p>
      <w:pPr>
        <w:keepNext w:val="0"/>
        <w:keepLines w:val="0"/>
        <w:framePr w:w="10766" w:h="4704"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UniCredit Bank Czech Republic</w:t>
      </w:r>
    </w:p>
    <w:p>
      <w:pPr>
        <w:keepNext w:val="0"/>
        <w:keepLines w:val="0"/>
        <w:framePr w:w="10766" w:h="4704"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VZP ČR</w:t>
      </w:r>
    </w:p>
    <w:p>
      <w:pPr>
        <w:keepNext w:val="0"/>
        <w:keepLines w:val="0"/>
        <w:framePr w:w="10766" w:h="4704"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Trexima, spol. s r. o.</w:t>
      </w:r>
    </w:p>
    <w:p>
      <w:pPr>
        <w:keepNext w:val="0"/>
        <w:keepLines w:val="0"/>
        <w:framePr w:w="10766" w:h="4704"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Ministerstvo práce a sociálních věcí </w:t>
      </w:r>
    </w:p>
    <w:p>
      <w:pPr>
        <w:keepNext w:val="0"/>
        <w:keepLines w:val="0"/>
        <w:framePr w:w="10766" w:h="4704"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Národní ústav odborného vzdělávání v Praze </w:t>
      </w:r>
    </w:p>
    <w:p>
      <w:pPr>
        <w:keepNext w:val="0"/>
        <w:keepLines w:val="0"/>
        <w:framePr w:w="10766" w:h="4704"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04"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kvalifikačního standardu se dále podílely tyto subjekty:</w:t>
      </w:r>
    </w:p>
    <w:p>
      <w:pPr>
        <w:keepNext w:val="0"/>
        <w:keepLines w:val="0"/>
        <w:framePr w:w="10766" w:h="4704"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BUSINESS LINK, s. r. o.</w:t>
      </w:r>
    </w:p>
    <w:p>
      <w:pPr>
        <w:keepNext w:val="0"/>
        <w:keepLines w:val="0"/>
        <w:framePr w:w="10766" w:h="4704"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PROCORTEX</w:t>
      </w:r>
    </w:p>
    <w:p>
      <w:pPr>
        <w:keepNext w:val="0"/>
        <w:keepLines w:val="0"/>
        <w:framePr w:w="10766" w:h="4704"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Telefónica O2 Czech Republic, a.s.</w:t>
      </w:r>
    </w:p>
    <w:p>
      <w:pPr>
        <w:pStyle w:val="P21"/>
        <w:framePr w:w="7654" w:h="331" w:hRule="exact" w:wrap="none" w:vAnchor="page" w:hAnchor="margin" w:x="28" w:y="15940"/>
        <w:rPr>
          <w:rStyle w:val="C16"/>
          <w:rtl w:val="0"/>
        </w:rPr>
      </w:pPr>
      <w:r>
        <w:rPr>
          <w:rStyle w:val="C16"/>
          <w:rtl w:val="0"/>
        </w:rPr>
        <w:t>Servisní pracovník u zákazníka, 4.8.2026 3:02:10</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