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17F29" Type="http://schemas.openxmlformats.org/officeDocument/2006/relationships/officeDocument" Target="/word/document.xml" /><Relationship Id="coreR7C617F29" Type="http://schemas.openxmlformats.org/package/2006/relationships/metadata/core-properties" Target="/docProps/core.xml" /><Relationship Id="customR7C617F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u zákazníka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18.09.2011 do: 20.10.2022</w:t>
      </w:r>
    </w:p>
    <w:p>
      <w:pPr>
        <w:pStyle w:val="P21"/>
        <w:framePr w:w="7654" w:h="331" w:hRule="exact" w:wrap="none" w:vAnchor="page" w:hAnchor="margin" w:x="28" w:y="15940"/>
        <w:rPr>
          <w:rStyle w:val="C16"/>
          <w:rtl w:val="0"/>
        </w:rPr>
      </w:pPr>
      <w:r>
        <w:rPr>
          <w:rStyle w:val="C16"/>
          <w:rtl w:val="0"/>
        </w:rPr>
        <w:t>Servisní pracovník u zákazníka, 4.11.2026 9:49:50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se zákazníkem a péče o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telefonní rozhovor se zákazníkem za účelem dojednání realizace zakázky u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slušného chování (představit sebe a společnost, adekvátně reagovat na aktuální situace, zvolit vhodný pracovní oděv)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Stručně a srozumitelně vysvětlit rozsah servisního zásahu, ověřit pochopení a potřebu zákazníka, odhadnout čas potřebný na servisní zásah, informovat zákazníka o odhadovaném čase vykonávané práce</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Popsat, jak postupovat při úklidu u zákazníka po ukončení práce</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jak efektivně organizovat čas ve vztahu k dojednané zakázce a k zákazníkovi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Vyřešit zakázku zákazníka v rámci své profese, nabídnout řešení odpovídající požadavkům zákazníka</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Nabídnout další, nadstandardní služby zákazníkovi, informovat o novinkách a doplňkových službách vhodných pro zákazníka</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Praktické předvedení a 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Ujistit se dotazem, zda je zákazník spokojen, zda pro něho může ještě něco udělat a informovat zákazníka o možnostech dalších služeb</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Řešení náročných situací</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a) Profesionálně komunikovat se zákazníkem při stížnostech a reklamacích zboží a služeb v souladu s legislativou a reklamačním řádem vlastní společnosti</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b) Vhodným způsobem řešit konfliktní situace při komunikaci se zákazníkem, nabídnout konstruktivní řešení</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Praktické předvedení a ústní ověření</w:t>
      </w:r>
    </w:p>
    <w:p>
      <w:pPr>
        <w:pStyle w:val="P12"/>
        <w:framePr w:w="6710" w:h="607" w:hRule="exact" w:wrap="none" w:vAnchor="page" w:hAnchor="margin" w:x="45" w:y="11178"/>
        <w:rPr>
          <w:rStyle w:val="C3"/>
          <w:rtl w:val="0"/>
        </w:rPr>
      </w:pPr>
    </w:p>
    <w:p>
      <w:pPr>
        <w:pStyle w:val="P13"/>
        <w:framePr w:w="6658" w:h="480" w:hRule="exact" w:wrap="none" w:vAnchor="page" w:hAnchor="margin" w:x="71" w:y="11234"/>
        <w:rPr>
          <w:rStyle w:val="C11"/>
          <w:rtl w:val="0"/>
        </w:rPr>
      </w:pPr>
      <w:r>
        <w:rPr>
          <w:rStyle w:val="C11"/>
          <w:rtl w:val="0"/>
        </w:rPr>
        <w:t>c) Vhodně reagovat na námitky zákazníka ve vztahu ke kvalitě služby, ceně, časové náročnosti</w:t>
      </w:r>
    </w:p>
    <w:p>
      <w:pPr>
        <w:pStyle w:val="P28"/>
        <w:framePr w:w="3921" w:h="607" w:hRule="exact" w:wrap="none" w:vAnchor="page" w:hAnchor="margin" w:x="6800" w:y="11178"/>
        <w:rPr>
          <w:rStyle w:val="C3"/>
          <w:rtl w:val="0"/>
        </w:rPr>
      </w:pPr>
    </w:p>
    <w:p>
      <w:pPr>
        <w:pStyle w:val="P29"/>
        <w:framePr w:w="3839" w:h="480" w:hRule="exact" w:wrap="none" w:vAnchor="page" w:hAnchor="margin" w:x="6856" w:y="11234"/>
        <w:rPr>
          <w:rStyle w:val="C21"/>
          <w:rtl w:val="0"/>
        </w:rPr>
      </w:pPr>
      <w:r>
        <w:rPr>
          <w:rStyle w:val="C21"/>
          <w:rtl w:val="0"/>
        </w:rPr>
        <w:t>Praktické předvedení a ústní ověření</w:t>
      </w:r>
    </w:p>
    <w:p>
      <w:pPr>
        <w:pStyle w:val="P32"/>
        <w:framePr w:w="10710" w:h="248" w:hRule="exact" w:wrap="none" w:vAnchor="page" w:hAnchor="margin" w:x="28" w:y="11898"/>
        <w:rPr>
          <w:rStyle w:val="C23"/>
          <w:rtl w:val="0"/>
        </w:rPr>
      </w:pPr>
      <w:r>
        <w:rPr>
          <w:rStyle w:val="C23"/>
          <w:rtl w:val="0"/>
        </w:rPr>
        <w:t>Je třeba splnit všechna kritéria.</w:t>
      </w:r>
    </w:p>
    <w:p>
      <w:pPr>
        <w:pStyle w:val="P23"/>
        <w:framePr w:w="10710" w:h="340" w:hRule="exact" w:wrap="none" w:vAnchor="page" w:hAnchor="margin" w:x="28" w:y="12334"/>
        <w:rPr>
          <w:rStyle w:val="C18"/>
          <w:rtl w:val="0"/>
        </w:rPr>
      </w:pPr>
      <w:r>
        <w:rPr>
          <w:rStyle w:val="C18"/>
          <w:rtl w:val="0"/>
        </w:rPr>
        <w:t>Zajištění administrace zakázky</w:t>
      </w:r>
    </w:p>
    <w:p>
      <w:pPr>
        <w:pStyle w:val="P24"/>
        <w:framePr w:w="6713" w:h="376" w:hRule="exact" w:wrap="none" w:vAnchor="page" w:hAnchor="margin" w:x="45" w:y="12773"/>
        <w:rPr>
          <w:rStyle w:val="C3"/>
          <w:rtl w:val="0"/>
        </w:rPr>
      </w:pPr>
    </w:p>
    <w:p>
      <w:pPr>
        <w:pStyle w:val="P25"/>
        <w:framePr w:w="6661" w:h="249" w:hRule="exact" w:wrap="none" w:vAnchor="page" w:hAnchor="margin" w:x="71" w:y="12844"/>
        <w:rPr>
          <w:rStyle w:val="C19"/>
          <w:rtl w:val="0"/>
        </w:rPr>
      </w:pPr>
      <w:r>
        <w:rPr>
          <w:rStyle w:val="C19"/>
          <w:rtl w:val="0"/>
        </w:rPr>
        <w:t>Kritéria hodnocení</w:t>
      </w:r>
    </w:p>
    <w:p>
      <w:pPr>
        <w:pStyle w:val="P26"/>
        <w:framePr w:w="3918" w:h="376" w:hRule="exact" w:wrap="none" w:vAnchor="page" w:hAnchor="margin" w:x="6803" w:y="12773"/>
        <w:rPr>
          <w:rStyle w:val="C3"/>
          <w:rtl w:val="0"/>
        </w:rPr>
      </w:pPr>
    </w:p>
    <w:p>
      <w:pPr>
        <w:pStyle w:val="P27"/>
        <w:framePr w:w="3836" w:h="249" w:hRule="exact" w:wrap="none" w:vAnchor="page" w:hAnchor="margin" w:x="6859" w:y="12844"/>
        <w:rPr>
          <w:rStyle w:val="C20"/>
          <w:rtl w:val="0"/>
        </w:rPr>
      </w:pPr>
      <w:r>
        <w:rPr>
          <w:rStyle w:val="C20"/>
          <w:rtl w:val="0"/>
        </w:rPr>
        <w:t>Způsoby ověření</w:t>
      </w:r>
    </w:p>
    <w:p>
      <w:pPr>
        <w:pStyle w:val="P12"/>
        <w:framePr w:w="6710" w:h="607" w:hRule="exact" w:wrap="none" w:vAnchor="page" w:hAnchor="margin" w:x="45" w:y="13150"/>
        <w:rPr>
          <w:rStyle w:val="C3"/>
          <w:rtl w:val="0"/>
        </w:rPr>
      </w:pPr>
    </w:p>
    <w:p>
      <w:pPr>
        <w:pStyle w:val="P13"/>
        <w:framePr w:w="6658" w:h="480" w:hRule="exact" w:wrap="none" w:vAnchor="page" w:hAnchor="margin" w:x="71" w:y="13206"/>
        <w:rPr>
          <w:rStyle w:val="C11"/>
          <w:rtl w:val="0"/>
        </w:rPr>
      </w:pPr>
      <w:r>
        <w:rPr>
          <w:rStyle w:val="C11"/>
          <w:rtl w:val="0"/>
        </w:rPr>
        <w:t>a) Provést vyúčtování se zákazníkem - vypsat a předložit účetní doklad, vyjmenovat náležitosti účetního dokladu a zjednodušeného účetního dokladu</w:t>
      </w:r>
    </w:p>
    <w:p>
      <w:pPr>
        <w:pStyle w:val="P28"/>
        <w:framePr w:w="3921" w:h="607" w:hRule="exact" w:wrap="none" w:vAnchor="page" w:hAnchor="margin" w:x="6800" w:y="13150"/>
        <w:rPr>
          <w:rStyle w:val="C3"/>
          <w:rtl w:val="0"/>
        </w:rPr>
      </w:pPr>
    </w:p>
    <w:p>
      <w:pPr>
        <w:pStyle w:val="P29"/>
        <w:framePr w:w="3839" w:h="480" w:hRule="exact" w:wrap="none" w:vAnchor="page" w:hAnchor="margin" w:x="6856" w:y="13206"/>
        <w:rPr>
          <w:rStyle w:val="C21"/>
          <w:rtl w:val="0"/>
        </w:rPr>
      </w:pPr>
      <w:r>
        <w:rPr>
          <w:rStyle w:val="C21"/>
          <w:rtl w:val="0"/>
        </w:rPr>
        <w:t>Praktické předvedení</w:t>
      </w:r>
    </w:p>
    <w:p>
      <w:pPr>
        <w:pStyle w:val="P16"/>
        <w:framePr w:w="6710" w:h="376" w:hRule="exact" w:wrap="none" w:vAnchor="page" w:hAnchor="margin" w:x="45" w:y="13756"/>
        <w:rPr>
          <w:rStyle w:val="C3"/>
          <w:rtl w:val="0"/>
        </w:rPr>
      </w:pPr>
    </w:p>
    <w:p>
      <w:pPr>
        <w:pStyle w:val="P17"/>
        <w:framePr w:w="6658" w:h="249" w:hRule="exact" w:wrap="none" w:vAnchor="page" w:hAnchor="margin" w:x="71" w:y="13812"/>
        <w:rPr>
          <w:rStyle w:val="C13"/>
          <w:rtl w:val="0"/>
        </w:rPr>
      </w:pPr>
      <w:r>
        <w:rPr>
          <w:rStyle w:val="C13"/>
          <w:rtl w:val="0"/>
        </w:rPr>
        <w:t>b) Vypočítat DPH dle platné legislativy</w:t>
      </w:r>
    </w:p>
    <w:p>
      <w:pPr>
        <w:pStyle w:val="P30"/>
        <w:framePr w:w="3921" w:h="376" w:hRule="exact" w:wrap="none" w:vAnchor="page" w:hAnchor="margin" w:x="6800" w:y="13756"/>
        <w:rPr>
          <w:rStyle w:val="C3"/>
          <w:rtl w:val="0"/>
        </w:rPr>
      </w:pPr>
    </w:p>
    <w:p>
      <w:pPr>
        <w:pStyle w:val="P31"/>
        <w:framePr w:w="3839" w:h="249" w:hRule="exact" w:wrap="none" w:vAnchor="page" w:hAnchor="margin" w:x="6856" w:y="13812"/>
        <w:rPr>
          <w:rStyle w:val="C22"/>
          <w:rtl w:val="0"/>
        </w:rPr>
      </w:pPr>
      <w:r>
        <w:rPr>
          <w:rStyle w:val="C22"/>
          <w:rtl w:val="0"/>
        </w:rPr>
        <w:t>Praktické předvedení</w:t>
      </w:r>
    </w:p>
    <w:p>
      <w:pPr>
        <w:pStyle w:val="P12"/>
        <w:framePr w:w="6710" w:h="607" w:hRule="exact" w:wrap="none" w:vAnchor="page" w:hAnchor="margin" w:x="45" w:y="14133"/>
        <w:rPr>
          <w:rStyle w:val="C3"/>
          <w:rtl w:val="0"/>
        </w:rPr>
      </w:pPr>
    </w:p>
    <w:p>
      <w:pPr>
        <w:pStyle w:val="P13"/>
        <w:framePr w:w="6658" w:h="480" w:hRule="exact" w:wrap="none" w:vAnchor="page" w:hAnchor="margin" w:x="71" w:y="14189"/>
        <w:rPr>
          <w:rStyle w:val="C11"/>
          <w:rtl w:val="0"/>
        </w:rPr>
      </w:pPr>
      <w:r>
        <w:rPr>
          <w:rStyle w:val="C11"/>
          <w:rtl w:val="0"/>
        </w:rPr>
        <w:t>c) Přijmout a vyúčtovat se zákazníkem platbu v hotovosti včetně dopočítávání při vracení peněz na větší bankovky</w:t>
      </w:r>
    </w:p>
    <w:p>
      <w:pPr>
        <w:pStyle w:val="P28"/>
        <w:framePr w:w="3921" w:h="607" w:hRule="exact" w:wrap="none" w:vAnchor="page" w:hAnchor="margin" w:x="6800" w:y="14133"/>
        <w:rPr>
          <w:rStyle w:val="C3"/>
          <w:rtl w:val="0"/>
        </w:rPr>
      </w:pPr>
    </w:p>
    <w:p>
      <w:pPr>
        <w:pStyle w:val="P29"/>
        <w:framePr w:w="3839" w:h="480" w:hRule="exact" w:wrap="none" w:vAnchor="page" w:hAnchor="margin" w:x="6856" w:y="14189"/>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d) Provést zápis zakázky do formuláře „Zakázkový list“</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12"/>
        <w:framePr w:w="6710" w:h="376" w:hRule="exact" w:wrap="none" w:vAnchor="page" w:hAnchor="margin" w:x="45" w:y="15116"/>
        <w:rPr>
          <w:rStyle w:val="C3"/>
          <w:rtl w:val="0"/>
        </w:rPr>
      </w:pPr>
    </w:p>
    <w:p>
      <w:pPr>
        <w:pStyle w:val="P13"/>
        <w:framePr w:w="6658" w:h="249" w:hRule="exact" w:wrap="none" w:vAnchor="page" w:hAnchor="margin" w:x="71" w:y="15172"/>
        <w:rPr>
          <w:rStyle w:val="C11"/>
          <w:rtl w:val="0"/>
        </w:rPr>
      </w:pPr>
      <w:r>
        <w:rPr>
          <w:rStyle w:val="C11"/>
          <w:rtl w:val="0"/>
        </w:rPr>
        <w:t>e) Vyhotovit evidenci zakázky</w:t>
      </w:r>
    </w:p>
    <w:p>
      <w:pPr>
        <w:pStyle w:val="P28"/>
        <w:framePr w:w="3921" w:h="376" w:hRule="exact" w:wrap="none" w:vAnchor="page" w:hAnchor="margin" w:x="6800" w:y="15116"/>
        <w:rPr>
          <w:rStyle w:val="C3"/>
          <w:rtl w:val="0"/>
        </w:rPr>
      </w:pPr>
    </w:p>
    <w:p>
      <w:pPr>
        <w:pStyle w:val="P29"/>
        <w:framePr w:w="3839" w:h="249" w:hRule="exact" w:wrap="none" w:vAnchor="page" w:hAnchor="margin" w:x="6856" w:y="15172"/>
        <w:rPr>
          <w:rStyle w:val="C21"/>
          <w:rtl w:val="0"/>
        </w:rPr>
      </w:pPr>
      <w:r>
        <w:rPr>
          <w:rStyle w:val="C21"/>
          <w:rtl w:val="0"/>
        </w:rPr>
        <w:t>Praktické předvedení</w:t>
      </w:r>
    </w:p>
    <w:p>
      <w:pPr>
        <w:pStyle w:val="P32"/>
        <w:framePr w:w="10710" w:h="248" w:hRule="exact" w:wrap="none" w:vAnchor="page" w:hAnchor="margin" w:x="28" w:y="15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u zákazníka, 4.11.2026 9:49:50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ustanovení příslušných zákonů v oblasti ochrany práv spotřebitele, reklamací a odpovědnosti za škodu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Servisní pracovník u zákazníka, 4.11.2026 9:49:50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80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Servisní pracovník u zákazníka, 4.11.2026 9:49:50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doložit minimálně 3 reference z projektů v oblasti péče o zákazníka, komunikace se zákazníkem a obchodních dovedností vystavené a potvrzené zaměstnavatelem, nebo zadavatelem.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osvětlením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Standardní vybavení kancelářským nábytkem, flipchart a potřeby na psaní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 (mobilní nebo pevná linka) k ověření dovedností v telefonické komunikaci se zákazníkem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platné právní normy z oblasti ochrany práv spotřebitele, reklamací, odpovědnosti za škodu</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103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w:t>
      </w:r>
    </w:p>
    <w:p>
      <w:pPr>
        <w:pStyle w:val="P21"/>
        <w:framePr w:w="7654" w:h="331" w:hRule="exact" w:wrap="none" w:vAnchor="page" w:hAnchor="margin" w:x="28" w:y="15940"/>
        <w:rPr>
          <w:rStyle w:val="C16"/>
          <w:rtl w:val="0"/>
        </w:rPr>
      </w:pPr>
      <w:r>
        <w:rPr>
          <w:rStyle w:val="C16"/>
          <w:rtl w:val="0"/>
        </w:rPr>
        <w:t>Servisní pracovník u zákazníka, 4.11.2026 9:49:50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management a administrativu,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 u zákazníka, 4.11.2026 9:49:50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