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4571A" Type="http://schemas.openxmlformats.org/officeDocument/2006/relationships/officeDocument" Target="/word/document.xml" /><Relationship Id="coreR3DA4571A" Type="http://schemas.openxmlformats.org/package/2006/relationships/metadata/core-properties" Target="/docProps/core.xml" /><Relationship Id="customR3DA45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u zákazníka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18.09.2011 do: 20.10.2022</w:t>
      </w:r>
    </w:p>
    <w:p>
      <w:pPr>
        <w:pStyle w:val="P21"/>
        <w:framePr w:w="7654" w:h="331" w:hRule="exact" w:wrap="none" w:vAnchor="page" w:hAnchor="margin" w:x="28" w:y="15940"/>
        <w:rPr>
          <w:rStyle w:val="C16"/>
          <w:rtl w:val="0"/>
        </w:rPr>
      </w:pPr>
      <w:r>
        <w:rPr>
          <w:rStyle w:val="C16"/>
          <w:rtl w:val="0"/>
        </w:rPr>
        <w:t>Servisní pracovník u zákazníka, 18.6.2026 18:52:03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se zákazníkem a péče o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telefonní rozhovor se zákazníkem za účelem dojednání realizace zakázky u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slušného chování (představit sebe a společnost, adekvátně reagovat na aktuální situace, zvolit vhodný pracovní oděv)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Stručně a srozumitelně vysvětlit rozsah servisního zásahu, ověřit pochopení a potřebu zákazníka, odhadnout čas potřebný na servisní zásah, informovat zákazníka o odhadovaném čase vykonávané práce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Popsat, jak postupovat při úklidu u zákazníka po ukončení práce</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jak efektivně organizovat čas ve vztahu k dojednané zakázce a k zákazníkovi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Vyřešit zakázku zákazníka v rámci své profese, nabídnout řešení odpovídající požadavkům zákazníka</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Nabídnout další, nadstandardní služby zákazníkovi, informovat o novinkách a doplňkových službách vhodných pro zákazníka</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Ujistit se dotazem, zda je zákazník spokojen, zda pro něho může ještě něco udělat a informovat zákazníka o možnostech dalších služeb</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Řešení náročných situací</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a) Profesionálně komunikovat se zákazníkem při stížnostech a reklamacích zboží a služeb v souladu s legislativou a reklamačním řádem vlastní společnosti</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b) Vhodným způsobem řešit konfliktní situace při komunikaci se zákazníkem, nabídnout konstruktivní řešení</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Praktické předvedení a ústní ověření</w:t>
      </w:r>
    </w:p>
    <w:p>
      <w:pPr>
        <w:pStyle w:val="P12"/>
        <w:framePr w:w="6710" w:h="607" w:hRule="exact" w:wrap="none" w:vAnchor="page" w:hAnchor="margin" w:x="45" w:y="11178"/>
        <w:rPr>
          <w:rStyle w:val="C3"/>
          <w:rtl w:val="0"/>
        </w:rPr>
      </w:pPr>
    </w:p>
    <w:p>
      <w:pPr>
        <w:pStyle w:val="P13"/>
        <w:framePr w:w="6658" w:h="480" w:hRule="exact" w:wrap="none" w:vAnchor="page" w:hAnchor="margin" w:x="71" w:y="11234"/>
        <w:rPr>
          <w:rStyle w:val="C11"/>
          <w:rtl w:val="0"/>
        </w:rPr>
      </w:pPr>
      <w:r>
        <w:rPr>
          <w:rStyle w:val="C11"/>
          <w:rtl w:val="0"/>
        </w:rPr>
        <w:t>c) Vhodně reagovat na námitky zákazníka ve vztahu ke kvalitě služby, ceně, časové náročnosti</w:t>
      </w:r>
    </w:p>
    <w:p>
      <w:pPr>
        <w:pStyle w:val="P28"/>
        <w:framePr w:w="3921" w:h="607" w:hRule="exact" w:wrap="none" w:vAnchor="page" w:hAnchor="margin" w:x="6800" w:y="11178"/>
        <w:rPr>
          <w:rStyle w:val="C3"/>
          <w:rtl w:val="0"/>
        </w:rPr>
      </w:pPr>
    </w:p>
    <w:p>
      <w:pPr>
        <w:pStyle w:val="P29"/>
        <w:framePr w:w="3839" w:h="480" w:hRule="exact" w:wrap="none" w:vAnchor="page" w:hAnchor="margin" w:x="6856" w:y="11234"/>
        <w:rPr>
          <w:rStyle w:val="C21"/>
          <w:rtl w:val="0"/>
        </w:rPr>
      </w:pPr>
      <w:r>
        <w:rPr>
          <w:rStyle w:val="C21"/>
          <w:rtl w:val="0"/>
        </w:rPr>
        <w:t>Praktické předvedení a ústní ověření</w:t>
      </w:r>
    </w:p>
    <w:p>
      <w:pPr>
        <w:pStyle w:val="P32"/>
        <w:framePr w:w="10710" w:h="248" w:hRule="exact" w:wrap="none" w:vAnchor="page" w:hAnchor="margin" w:x="28" w:y="11898"/>
        <w:rPr>
          <w:rStyle w:val="C23"/>
          <w:rtl w:val="0"/>
        </w:rPr>
      </w:pPr>
      <w:r>
        <w:rPr>
          <w:rStyle w:val="C23"/>
          <w:rtl w:val="0"/>
        </w:rPr>
        <w:t>Je třeba splnit všechna kritéria.</w:t>
      </w:r>
    </w:p>
    <w:p>
      <w:pPr>
        <w:pStyle w:val="P23"/>
        <w:framePr w:w="10710" w:h="340" w:hRule="exact" w:wrap="none" w:vAnchor="page" w:hAnchor="margin" w:x="28" w:y="12334"/>
        <w:rPr>
          <w:rStyle w:val="C18"/>
          <w:rtl w:val="0"/>
        </w:rPr>
      </w:pPr>
      <w:r>
        <w:rPr>
          <w:rStyle w:val="C18"/>
          <w:rtl w:val="0"/>
        </w:rPr>
        <w:t>Zajištění administrace zakázky</w:t>
      </w:r>
    </w:p>
    <w:p>
      <w:pPr>
        <w:pStyle w:val="P24"/>
        <w:framePr w:w="6713" w:h="376" w:hRule="exact" w:wrap="none" w:vAnchor="page" w:hAnchor="margin" w:x="45" w:y="12773"/>
        <w:rPr>
          <w:rStyle w:val="C3"/>
          <w:rtl w:val="0"/>
        </w:rPr>
      </w:pPr>
    </w:p>
    <w:p>
      <w:pPr>
        <w:pStyle w:val="P25"/>
        <w:framePr w:w="6661" w:h="249" w:hRule="exact" w:wrap="none" w:vAnchor="page" w:hAnchor="margin" w:x="71" w:y="12844"/>
        <w:rPr>
          <w:rStyle w:val="C19"/>
          <w:rtl w:val="0"/>
        </w:rPr>
      </w:pPr>
      <w:r>
        <w:rPr>
          <w:rStyle w:val="C19"/>
          <w:rtl w:val="0"/>
        </w:rPr>
        <w:t>Kritéria hodnocení</w:t>
      </w:r>
    </w:p>
    <w:p>
      <w:pPr>
        <w:pStyle w:val="P26"/>
        <w:framePr w:w="3918" w:h="376" w:hRule="exact" w:wrap="none" w:vAnchor="page" w:hAnchor="margin" w:x="6803" w:y="12773"/>
        <w:rPr>
          <w:rStyle w:val="C3"/>
          <w:rtl w:val="0"/>
        </w:rPr>
      </w:pPr>
    </w:p>
    <w:p>
      <w:pPr>
        <w:pStyle w:val="P27"/>
        <w:framePr w:w="3836" w:h="249" w:hRule="exact" w:wrap="none" w:vAnchor="page" w:hAnchor="margin" w:x="6859" w:y="12844"/>
        <w:rPr>
          <w:rStyle w:val="C20"/>
          <w:rtl w:val="0"/>
        </w:rPr>
      </w:pPr>
      <w:r>
        <w:rPr>
          <w:rStyle w:val="C20"/>
          <w:rtl w:val="0"/>
        </w:rPr>
        <w:t>Způsoby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a) Provést vyúčtování se zákazníkem - vypsat a předložit účetní doklad, vyjmenovat náležitosti účetního dokladu a zjednodušeného účetního dokladu</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756"/>
        <w:rPr>
          <w:rStyle w:val="C3"/>
          <w:rtl w:val="0"/>
        </w:rPr>
      </w:pPr>
    </w:p>
    <w:p>
      <w:pPr>
        <w:pStyle w:val="P17"/>
        <w:framePr w:w="6658" w:h="249" w:hRule="exact" w:wrap="none" w:vAnchor="page" w:hAnchor="margin" w:x="71" w:y="13812"/>
        <w:rPr>
          <w:rStyle w:val="C13"/>
          <w:rtl w:val="0"/>
        </w:rPr>
      </w:pPr>
      <w:r>
        <w:rPr>
          <w:rStyle w:val="C13"/>
          <w:rtl w:val="0"/>
        </w:rPr>
        <w:t>b) Vypočítat DPH dle platné legislativy</w:t>
      </w:r>
    </w:p>
    <w:p>
      <w:pPr>
        <w:pStyle w:val="P30"/>
        <w:framePr w:w="3921" w:h="376" w:hRule="exact" w:wrap="none" w:vAnchor="page" w:hAnchor="margin" w:x="6800" w:y="13756"/>
        <w:rPr>
          <w:rStyle w:val="C3"/>
          <w:rtl w:val="0"/>
        </w:rPr>
      </w:pPr>
    </w:p>
    <w:p>
      <w:pPr>
        <w:pStyle w:val="P31"/>
        <w:framePr w:w="3839" w:h="249" w:hRule="exact" w:wrap="none" w:vAnchor="page" w:hAnchor="margin" w:x="6856" w:y="13812"/>
        <w:rPr>
          <w:rStyle w:val="C22"/>
          <w:rtl w:val="0"/>
        </w:rPr>
      </w:pPr>
      <w:r>
        <w:rPr>
          <w:rStyle w:val="C22"/>
          <w:rtl w:val="0"/>
        </w:rPr>
        <w:t>Praktické předvedení</w:t>
      </w:r>
    </w:p>
    <w:p>
      <w:pPr>
        <w:pStyle w:val="P12"/>
        <w:framePr w:w="6710" w:h="607" w:hRule="exact" w:wrap="none" w:vAnchor="page" w:hAnchor="margin" w:x="45" w:y="14133"/>
        <w:rPr>
          <w:rStyle w:val="C3"/>
          <w:rtl w:val="0"/>
        </w:rPr>
      </w:pPr>
    </w:p>
    <w:p>
      <w:pPr>
        <w:pStyle w:val="P13"/>
        <w:framePr w:w="6658" w:h="480" w:hRule="exact" w:wrap="none" w:vAnchor="page" w:hAnchor="margin" w:x="71" w:y="14189"/>
        <w:rPr>
          <w:rStyle w:val="C11"/>
          <w:rtl w:val="0"/>
        </w:rPr>
      </w:pPr>
      <w:r>
        <w:rPr>
          <w:rStyle w:val="C11"/>
          <w:rtl w:val="0"/>
        </w:rPr>
        <w:t>c) Přijmout a vyúčtovat se zákazníkem platbu v hotovosti včetně dopočítávání při vracení peněz na větší bankovky</w:t>
      </w:r>
    </w:p>
    <w:p>
      <w:pPr>
        <w:pStyle w:val="P28"/>
        <w:framePr w:w="3921" w:h="607" w:hRule="exact" w:wrap="none" w:vAnchor="page" w:hAnchor="margin" w:x="6800" w:y="14133"/>
        <w:rPr>
          <w:rStyle w:val="C3"/>
          <w:rtl w:val="0"/>
        </w:rPr>
      </w:pPr>
    </w:p>
    <w:p>
      <w:pPr>
        <w:pStyle w:val="P29"/>
        <w:framePr w:w="3839" w:h="480" w:hRule="exact" w:wrap="none" w:vAnchor="page" w:hAnchor="margin" w:x="6856" w:y="14189"/>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d) Provést zápis zakázky do formuláře „Zakázkový list“</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12"/>
        <w:framePr w:w="6710" w:h="376" w:hRule="exact" w:wrap="none" w:vAnchor="page" w:hAnchor="margin" w:x="45" w:y="15116"/>
        <w:rPr>
          <w:rStyle w:val="C3"/>
          <w:rtl w:val="0"/>
        </w:rPr>
      </w:pPr>
    </w:p>
    <w:p>
      <w:pPr>
        <w:pStyle w:val="P13"/>
        <w:framePr w:w="6658" w:h="249" w:hRule="exact" w:wrap="none" w:vAnchor="page" w:hAnchor="margin" w:x="71" w:y="15172"/>
        <w:rPr>
          <w:rStyle w:val="C11"/>
          <w:rtl w:val="0"/>
        </w:rPr>
      </w:pPr>
      <w:r>
        <w:rPr>
          <w:rStyle w:val="C11"/>
          <w:rtl w:val="0"/>
        </w:rPr>
        <w:t>e) Vyhotovit evidenci zakázky</w:t>
      </w:r>
    </w:p>
    <w:p>
      <w:pPr>
        <w:pStyle w:val="P28"/>
        <w:framePr w:w="3921" w:h="376" w:hRule="exact" w:wrap="none" w:vAnchor="page" w:hAnchor="margin" w:x="6800" w:y="15116"/>
        <w:rPr>
          <w:rStyle w:val="C3"/>
          <w:rtl w:val="0"/>
        </w:rPr>
      </w:pPr>
    </w:p>
    <w:p>
      <w:pPr>
        <w:pStyle w:val="P29"/>
        <w:framePr w:w="3839" w:h="249" w:hRule="exact" w:wrap="none" w:vAnchor="page" w:hAnchor="margin" w:x="6856" w:y="15172"/>
        <w:rPr>
          <w:rStyle w:val="C21"/>
          <w:rtl w:val="0"/>
        </w:rPr>
      </w:pPr>
      <w:r>
        <w:rPr>
          <w:rStyle w:val="C21"/>
          <w:rtl w:val="0"/>
        </w:rPr>
        <w:t>Praktické předvedení</w:t>
      </w:r>
    </w:p>
    <w:p>
      <w:pPr>
        <w:pStyle w:val="P32"/>
        <w:framePr w:w="10710" w:h="248" w:hRule="exact" w:wrap="none" w:vAnchor="page" w:hAnchor="margin" w:x="28" w:y="15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u zákazníka, 18.6.2026 18:52:03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ustanovení příslušných zákonů v oblasti ochrany práv spotřebitele, reklamací a odpovědnosti za škodu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Servisní pracovník u zákazníka, 18.6.2026 18:52:03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80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Servisní pracovník u zákazníka, 18.6.2026 18:52:03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doložit minimálně 3 reference z projektů v oblasti péče o zákazníka, komunikace se zákazníkem a obchodních dovedností vystavené a potvrzené zaměstnavatelem, nebo zadavatelem.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osvětlením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Standardní vybavení kancelářským nábytkem, flipchart a potřeby na psaní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 (mobilní nebo pevná linka) k ověření dovedností v telefonické komunikaci se zákazníkem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platné právní normy z oblasti ochrany práv spotřebitele, reklamací, odpovědnosti za škodu</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Servisní pracovník u zákazníka, 18.6.2026 18:52:03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 u zákazníka, 18.6.2026 18:52:03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