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D2F9EE" Type="http://schemas.openxmlformats.org/officeDocument/2006/relationships/officeDocument" Target="/word/document.xml" /><Relationship Id="coreR49D2F9EE" Type="http://schemas.openxmlformats.org/package/2006/relationships/metadata/core-properties" Target="/docProps/core.xml" /><Relationship Id="customR49D2F9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u zákazníků (kód: 69-013-H)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u zákazníka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a péče o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Řešení náročných situací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administrace zakázky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příslušné legislativě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21.10.2022 do: 18.02.2026</w:t>
      </w:r>
    </w:p>
    <w:p>
      <w:pPr>
        <w:pStyle w:val="P21"/>
        <w:framePr w:w="7654" w:h="331" w:hRule="exact" w:wrap="none" w:vAnchor="page" w:hAnchor="margin" w:x="28" w:y="15940"/>
        <w:rPr>
          <w:rStyle w:val="C16"/>
          <w:rtl w:val="0"/>
        </w:rPr>
      </w:pPr>
      <w:r>
        <w:rPr>
          <w:rStyle w:val="C16"/>
          <w:rtl w:val="0"/>
        </w:rPr>
        <w:t>Servisní pracovník/pracovnice u zákazníků, 4.11.2026 8:31:15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uchazeč při zkoušce smí používat.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musí připravit minimálně 10 modelových situací pro praktickou část zkoušky, které musí být použity tak, aby ověřily všechny kompetence. Ústní část zkoušky je vhodné vést formou rozhovoru, autorizovaná osoba se může doptávat na upřesnění. Pro ověření kompetence Orientace v příslušné legislativě je vhodné připravit sadu minimálně 5 otázek s uzavřenými nebo otevřenými možnostmi odpovědí. V případě, že se autorizovaná osoba rozhodne pro ověření s využitím testu, je povinna postupovat podle pravidel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DK navazuje na kvalifikace řemeslného či službového charakteru týkající se instalace, servisu a opravy zařízení a vybavení domácností i firem.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Servisní pracovník/pracovnice u zákazníků, 4.11.2026 8:31:15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management a administrativu, v níž byly zastoupeny:</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práce a sociálních věcí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BUSINESS LINK,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PROCORTEX</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O2 Czech Republic, a.s.</w:t>
      </w:r>
    </w:p>
    <w:p>
      <w:pPr>
        <w:pStyle w:val="P21"/>
        <w:framePr w:w="7654" w:h="331" w:hRule="exact" w:wrap="none" w:vAnchor="page" w:hAnchor="margin" w:x="28" w:y="15940"/>
        <w:rPr>
          <w:rStyle w:val="C16"/>
          <w:rtl w:val="0"/>
        </w:rPr>
      </w:pPr>
      <w:r>
        <w:rPr>
          <w:rStyle w:val="C16"/>
          <w:rtl w:val="0"/>
        </w:rPr>
        <w:t>Servisní pracovník/pracovnice u zákazníků, 4.11.2026 8:31:15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