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389B0" Type="http://schemas.openxmlformats.org/officeDocument/2006/relationships/officeDocument" Target="/word/document.xml" /><Relationship Id="coreR213389B0" Type="http://schemas.openxmlformats.org/package/2006/relationships/metadata/core-properties" Target="/docProps/core.xml" /><Relationship Id="customR21338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u zákazníků (kód: 69-013-H)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u zákazníka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a péče o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Řešení náročných situací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administrace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příslušné legislativě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21.10.2022 do: 18.02.2026</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uchazeč při zkoušce smí používat.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musí připravit minimálně 10 modelových situací pro praktickou část zkoušky, které musí být použity tak, aby ověřily všechny kompetence. Ústní část zkoušky je vhodné vést formou rozhovoru, autorizovaná osoba se může doptávat na upřesnění. Pro ověření kompetence Orientace v příslušné legislativě je vhodné připravit sadu minimálně 5 otázek s uzavřenými nebo otevřenými možnostmi odpovědí. V případě, že se autorizovaná osoba rozhodne pro ověření s využitím testu, je povinna postupovat podle pravidel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DK navazuje na kvalifikace řemeslného či službového charakteru týkající se instalace, servisu a opravy zařízení a vybavení domácností i firem.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management a administrativu, v níž byly zastoupeny:</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BUSINESS LINK,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PROCORTEX</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O2 Czech Republic, a.s.</w:t>
      </w:r>
    </w:p>
    <w:p>
      <w:pPr>
        <w:pStyle w:val="P21"/>
        <w:framePr w:w="7654" w:h="331" w:hRule="exact" w:wrap="none" w:vAnchor="page" w:hAnchor="margin" w:x="28" w:y="15940"/>
        <w:rPr>
          <w:rStyle w:val="C16"/>
          <w:rtl w:val="0"/>
        </w:rPr>
      </w:pPr>
      <w:r>
        <w:rPr>
          <w:rStyle w:val="C16"/>
          <w:rtl w:val="0"/>
        </w:rPr>
        <w:t>Servisní pracovník/pracovnice u zákazníků, 3.8.2026 23:41:38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