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181110" Type="http://schemas.openxmlformats.org/officeDocument/2006/relationships/officeDocument" Target="/word/document.xml" /><Relationship Id="coreRF181110" Type="http://schemas.openxmlformats.org/package/2006/relationships/metadata/core-properties" Target="/docProps/core.xml" /><Relationship Id="customRF1811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u zákazníků (kód: 69-013-H)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u zákazníka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se zákazníkem a péče o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Řešení náročných situací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administrace zakázky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příslušné legislativě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21.10.2022 do: 18.02.2026</w:t>
      </w:r>
    </w:p>
    <w:p>
      <w:pPr>
        <w:pStyle w:val="P21"/>
        <w:framePr w:w="7654" w:h="331" w:hRule="exact" w:wrap="none" w:vAnchor="page" w:hAnchor="margin" w:x="28" w:y="15940"/>
        <w:rPr>
          <w:rStyle w:val="C16"/>
          <w:rtl w:val="0"/>
        </w:rPr>
      </w:pPr>
      <w:r>
        <w:rPr>
          <w:rStyle w:val="C16"/>
          <w:rtl w:val="0"/>
        </w:rPr>
        <w:t>Servisní pracovník/pracovnice u zákazníků, 18.6.2026 17:10:38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se zákazníkem a péče o zákazníka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telefonní rozhovor se zákazníkem za účelem dojednání realizace zakázky u zákazníka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Dodržovat zásady slušného chování (představit sebe a společnost, adekvátně reagovat na aktuální situace, zvolit vhodný pracovní oděv)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Stručně a srozumitelně vysvětlit rozsah servisního zásahu, ověřit pochopení a potřebu zákazníka, odhadnout čas potřebný na servisní zásah, informovat zákazníka o odhadovaném čase vykonávané práce</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Popsat, jak postupovat při úklidu u zákazníka po ukončení práce</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Písemné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jak efektivně organizovat čas ve vztahu k dojednané zakázce a k zákazníkovi</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Vyřešit zakázku zákazníka v rámci své profese, nabídnout řešení odpovídající požadavkům zákazníka</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7162"/>
        <w:rPr>
          <w:rStyle w:val="C3"/>
          <w:rtl w:val="0"/>
        </w:rPr>
      </w:pPr>
    </w:p>
    <w:p>
      <w:pPr>
        <w:pStyle w:val="P13"/>
        <w:framePr w:w="6658" w:h="480" w:hRule="exact" w:wrap="none" w:vAnchor="page" w:hAnchor="margin" w:x="71" w:y="7218"/>
        <w:rPr>
          <w:rStyle w:val="C11"/>
          <w:rtl w:val="0"/>
        </w:rPr>
      </w:pPr>
      <w:r>
        <w:rPr>
          <w:rStyle w:val="C11"/>
          <w:rtl w:val="0"/>
        </w:rPr>
        <w:t>g) Nabídnout další, nadstandardní služby zákazníkovi, informovat o novinkách a doplňkových službách vhodných pro zákazníka</w:t>
      </w:r>
    </w:p>
    <w:p>
      <w:pPr>
        <w:pStyle w:val="P28"/>
        <w:framePr w:w="3921" w:h="607" w:hRule="exact" w:wrap="none" w:vAnchor="page" w:hAnchor="margin" w:x="6800" w:y="7162"/>
        <w:rPr>
          <w:rStyle w:val="C3"/>
          <w:rtl w:val="0"/>
        </w:rPr>
      </w:pPr>
    </w:p>
    <w:p>
      <w:pPr>
        <w:pStyle w:val="P29"/>
        <w:framePr w:w="3839" w:h="480" w:hRule="exact" w:wrap="none" w:vAnchor="page" w:hAnchor="margin" w:x="6856" w:y="7218"/>
        <w:rPr>
          <w:rStyle w:val="C21"/>
          <w:rtl w:val="0"/>
        </w:rPr>
      </w:pPr>
      <w:r>
        <w:rPr>
          <w:rStyle w:val="C21"/>
          <w:rtl w:val="0"/>
        </w:rPr>
        <w:t>Praktické předvedení a 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Ujistit se dotazem, zda je zákazník spokojen, zda pro něho může ještě něco udělat a informovat zákazníka o možnostech dalších služeb</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Praktické předvedení a ústní ověření</w:t>
      </w:r>
    </w:p>
    <w:p>
      <w:pPr>
        <w:pStyle w:val="P32"/>
        <w:framePr w:w="10710" w:h="248" w:hRule="exact" w:wrap="none" w:vAnchor="page" w:hAnchor="margin" w:x="28" w:y="8489"/>
        <w:rPr>
          <w:rStyle w:val="C23"/>
          <w:rtl w:val="0"/>
        </w:rPr>
      </w:pPr>
      <w:r>
        <w:rPr>
          <w:rStyle w:val="C23"/>
          <w:rtl w:val="0"/>
        </w:rPr>
        <w:t>Je třeba splnit všechna kritéria.</w:t>
      </w:r>
    </w:p>
    <w:p>
      <w:pPr>
        <w:pStyle w:val="P23"/>
        <w:framePr w:w="10710" w:h="340" w:hRule="exact" w:wrap="none" w:vAnchor="page" w:hAnchor="margin" w:x="28" w:y="8925"/>
        <w:rPr>
          <w:rStyle w:val="C18"/>
          <w:rtl w:val="0"/>
        </w:rPr>
      </w:pPr>
      <w:r>
        <w:rPr>
          <w:rStyle w:val="C18"/>
          <w:rtl w:val="0"/>
        </w:rPr>
        <w:t>Řešení náročných situací</w:t>
      </w:r>
    </w:p>
    <w:p>
      <w:pPr>
        <w:pStyle w:val="P24"/>
        <w:framePr w:w="6713" w:h="376" w:hRule="exact" w:wrap="none" w:vAnchor="page" w:hAnchor="margin" w:x="45" w:y="9364"/>
        <w:rPr>
          <w:rStyle w:val="C3"/>
          <w:rtl w:val="0"/>
        </w:rPr>
      </w:pPr>
    </w:p>
    <w:p>
      <w:pPr>
        <w:pStyle w:val="P25"/>
        <w:framePr w:w="6661" w:h="249" w:hRule="exact" w:wrap="none" w:vAnchor="page" w:hAnchor="margin" w:x="71" w:y="9435"/>
        <w:rPr>
          <w:rStyle w:val="C19"/>
          <w:rtl w:val="0"/>
        </w:rPr>
      </w:pPr>
      <w:r>
        <w:rPr>
          <w:rStyle w:val="C19"/>
          <w:rtl w:val="0"/>
        </w:rPr>
        <w:t>Kritéria hodnocení</w:t>
      </w:r>
    </w:p>
    <w:p>
      <w:pPr>
        <w:pStyle w:val="P26"/>
        <w:framePr w:w="3918" w:h="376" w:hRule="exact" w:wrap="none" w:vAnchor="page" w:hAnchor="margin" w:x="6803" w:y="9364"/>
        <w:rPr>
          <w:rStyle w:val="C3"/>
          <w:rtl w:val="0"/>
        </w:rPr>
      </w:pPr>
    </w:p>
    <w:p>
      <w:pPr>
        <w:pStyle w:val="P27"/>
        <w:framePr w:w="3836" w:h="249" w:hRule="exact" w:wrap="none" w:vAnchor="page" w:hAnchor="margin" w:x="6859" w:y="9435"/>
        <w:rPr>
          <w:rStyle w:val="C20"/>
          <w:rtl w:val="0"/>
        </w:rPr>
      </w:pPr>
      <w:r>
        <w:rPr>
          <w:rStyle w:val="C20"/>
          <w:rtl w:val="0"/>
        </w:rPr>
        <w:t>Způsoby ověření</w:t>
      </w:r>
    </w:p>
    <w:p>
      <w:pPr>
        <w:pStyle w:val="P12"/>
        <w:framePr w:w="6710" w:h="831" w:hRule="exact" w:wrap="none" w:vAnchor="page" w:hAnchor="margin" w:x="45" w:y="9740"/>
        <w:rPr>
          <w:rStyle w:val="C3"/>
          <w:rtl w:val="0"/>
        </w:rPr>
      </w:pPr>
    </w:p>
    <w:p>
      <w:pPr>
        <w:pStyle w:val="P13"/>
        <w:framePr w:w="6658" w:h="704" w:hRule="exact" w:wrap="none" w:vAnchor="page" w:hAnchor="margin" w:x="71" w:y="9796"/>
        <w:rPr>
          <w:rStyle w:val="C11"/>
          <w:rtl w:val="0"/>
        </w:rPr>
      </w:pPr>
      <w:r>
        <w:rPr>
          <w:rStyle w:val="C11"/>
          <w:rtl w:val="0"/>
        </w:rPr>
        <w:t>a) Profesionálně komunikovat se zákazníkem při stížnostech a reklamacích zboží a služeb v souladu s legislativou a reklamačním řádem vlastní společnosti</w:t>
      </w:r>
    </w:p>
    <w:p>
      <w:pPr>
        <w:pStyle w:val="P28"/>
        <w:framePr w:w="3921" w:h="831" w:hRule="exact" w:wrap="none" w:vAnchor="page" w:hAnchor="margin" w:x="6800" w:y="9740"/>
        <w:rPr>
          <w:rStyle w:val="C3"/>
          <w:rtl w:val="0"/>
        </w:rPr>
      </w:pPr>
    </w:p>
    <w:p>
      <w:pPr>
        <w:pStyle w:val="P29"/>
        <w:framePr w:w="3839" w:h="704" w:hRule="exact" w:wrap="none" w:vAnchor="page" w:hAnchor="margin" w:x="6856" w:y="9796"/>
        <w:rPr>
          <w:rStyle w:val="C21"/>
          <w:rtl w:val="0"/>
        </w:rPr>
      </w:pPr>
      <w:r>
        <w:rPr>
          <w:rStyle w:val="C21"/>
          <w:rtl w:val="0"/>
        </w:rPr>
        <w:t>Praktické předvedení a ústní ověření</w:t>
      </w:r>
    </w:p>
    <w:p>
      <w:pPr>
        <w:pStyle w:val="P16"/>
        <w:framePr w:w="6710" w:h="607" w:hRule="exact" w:wrap="none" w:vAnchor="page" w:hAnchor="margin" w:x="45" w:y="10571"/>
        <w:rPr>
          <w:rStyle w:val="C3"/>
          <w:rtl w:val="0"/>
        </w:rPr>
      </w:pPr>
    </w:p>
    <w:p>
      <w:pPr>
        <w:pStyle w:val="P17"/>
        <w:framePr w:w="6658" w:h="480" w:hRule="exact" w:wrap="none" w:vAnchor="page" w:hAnchor="margin" w:x="71" w:y="10627"/>
        <w:rPr>
          <w:rStyle w:val="C13"/>
          <w:rtl w:val="0"/>
        </w:rPr>
      </w:pPr>
      <w:r>
        <w:rPr>
          <w:rStyle w:val="C13"/>
          <w:rtl w:val="0"/>
        </w:rPr>
        <w:t>b) Vhodným způsobem řešit konfliktní situace při komunikaci se zákazníkem, nabídnout konstruktivní řešení</w:t>
      </w:r>
    </w:p>
    <w:p>
      <w:pPr>
        <w:pStyle w:val="P30"/>
        <w:framePr w:w="3921" w:h="607" w:hRule="exact" w:wrap="none" w:vAnchor="page" w:hAnchor="margin" w:x="6800" w:y="10571"/>
        <w:rPr>
          <w:rStyle w:val="C3"/>
          <w:rtl w:val="0"/>
        </w:rPr>
      </w:pPr>
    </w:p>
    <w:p>
      <w:pPr>
        <w:pStyle w:val="P31"/>
        <w:framePr w:w="3839" w:h="480" w:hRule="exact" w:wrap="none" w:vAnchor="page" w:hAnchor="margin" w:x="6856" w:y="10627"/>
        <w:rPr>
          <w:rStyle w:val="C22"/>
          <w:rtl w:val="0"/>
        </w:rPr>
      </w:pPr>
      <w:r>
        <w:rPr>
          <w:rStyle w:val="C22"/>
          <w:rtl w:val="0"/>
        </w:rPr>
        <w:t>Praktické předvedení a ústní ověření</w:t>
      </w:r>
    </w:p>
    <w:p>
      <w:pPr>
        <w:pStyle w:val="P12"/>
        <w:framePr w:w="6710" w:h="607" w:hRule="exact" w:wrap="none" w:vAnchor="page" w:hAnchor="margin" w:x="45" w:y="11178"/>
        <w:rPr>
          <w:rStyle w:val="C3"/>
          <w:rtl w:val="0"/>
        </w:rPr>
      </w:pPr>
    </w:p>
    <w:p>
      <w:pPr>
        <w:pStyle w:val="P13"/>
        <w:framePr w:w="6658" w:h="480" w:hRule="exact" w:wrap="none" w:vAnchor="page" w:hAnchor="margin" w:x="71" w:y="11234"/>
        <w:rPr>
          <w:rStyle w:val="C11"/>
          <w:rtl w:val="0"/>
        </w:rPr>
      </w:pPr>
      <w:r>
        <w:rPr>
          <w:rStyle w:val="C11"/>
          <w:rtl w:val="0"/>
        </w:rPr>
        <w:t>c) Vhodně reagovat na námitky zákazníka ve vztahu ke kvalitě služby, ceně, časové náročnosti</w:t>
      </w:r>
    </w:p>
    <w:p>
      <w:pPr>
        <w:pStyle w:val="P28"/>
        <w:framePr w:w="3921" w:h="607" w:hRule="exact" w:wrap="none" w:vAnchor="page" w:hAnchor="margin" w:x="6800" w:y="11178"/>
        <w:rPr>
          <w:rStyle w:val="C3"/>
          <w:rtl w:val="0"/>
        </w:rPr>
      </w:pPr>
    </w:p>
    <w:p>
      <w:pPr>
        <w:pStyle w:val="P29"/>
        <w:framePr w:w="3839" w:h="480" w:hRule="exact" w:wrap="none" w:vAnchor="page" w:hAnchor="margin" w:x="6856" w:y="11234"/>
        <w:rPr>
          <w:rStyle w:val="C21"/>
          <w:rtl w:val="0"/>
        </w:rPr>
      </w:pPr>
      <w:r>
        <w:rPr>
          <w:rStyle w:val="C21"/>
          <w:rtl w:val="0"/>
        </w:rPr>
        <w:t>Praktické předvedení a ústní ověření</w:t>
      </w:r>
    </w:p>
    <w:p>
      <w:pPr>
        <w:pStyle w:val="P32"/>
        <w:framePr w:w="10710" w:h="248" w:hRule="exact" w:wrap="none" w:vAnchor="page" w:hAnchor="margin" w:x="28" w:y="11898"/>
        <w:rPr>
          <w:rStyle w:val="C23"/>
          <w:rtl w:val="0"/>
        </w:rPr>
      </w:pPr>
      <w:r>
        <w:rPr>
          <w:rStyle w:val="C23"/>
          <w:rtl w:val="0"/>
        </w:rPr>
        <w:t>Je třeba splnit všechna kritéria.</w:t>
      </w:r>
    </w:p>
    <w:p>
      <w:pPr>
        <w:pStyle w:val="P23"/>
        <w:framePr w:w="10710" w:h="340" w:hRule="exact" w:wrap="none" w:vAnchor="page" w:hAnchor="margin" w:x="28" w:y="12334"/>
        <w:rPr>
          <w:rStyle w:val="C18"/>
          <w:rtl w:val="0"/>
        </w:rPr>
      </w:pPr>
      <w:r>
        <w:rPr>
          <w:rStyle w:val="C18"/>
          <w:rtl w:val="0"/>
        </w:rPr>
        <w:t>Zajištění administrace zakázky</w:t>
      </w:r>
    </w:p>
    <w:p>
      <w:pPr>
        <w:pStyle w:val="P24"/>
        <w:framePr w:w="6713" w:h="376" w:hRule="exact" w:wrap="none" w:vAnchor="page" w:hAnchor="margin" w:x="45" w:y="12773"/>
        <w:rPr>
          <w:rStyle w:val="C3"/>
          <w:rtl w:val="0"/>
        </w:rPr>
      </w:pPr>
    </w:p>
    <w:p>
      <w:pPr>
        <w:pStyle w:val="P25"/>
        <w:framePr w:w="6661" w:h="249" w:hRule="exact" w:wrap="none" w:vAnchor="page" w:hAnchor="margin" w:x="71" w:y="12844"/>
        <w:rPr>
          <w:rStyle w:val="C19"/>
          <w:rtl w:val="0"/>
        </w:rPr>
      </w:pPr>
      <w:r>
        <w:rPr>
          <w:rStyle w:val="C19"/>
          <w:rtl w:val="0"/>
        </w:rPr>
        <w:t>Kritéria hodnocení</w:t>
      </w:r>
    </w:p>
    <w:p>
      <w:pPr>
        <w:pStyle w:val="P26"/>
        <w:framePr w:w="3918" w:h="376" w:hRule="exact" w:wrap="none" w:vAnchor="page" w:hAnchor="margin" w:x="6803" w:y="12773"/>
        <w:rPr>
          <w:rStyle w:val="C3"/>
          <w:rtl w:val="0"/>
        </w:rPr>
      </w:pPr>
    </w:p>
    <w:p>
      <w:pPr>
        <w:pStyle w:val="P27"/>
        <w:framePr w:w="3836" w:h="249" w:hRule="exact" w:wrap="none" w:vAnchor="page" w:hAnchor="margin" w:x="6859" w:y="12844"/>
        <w:rPr>
          <w:rStyle w:val="C20"/>
          <w:rtl w:val="0"/>
        </w:rPr>
      </w:pPr>
      <w:r>
        <w:rPr>
          <w:rStyle w:val="C20"/>
          <w:rtl w:val="0"/>
        </w:rPr>
        <w:t>Způsoby ověření</w:t>
      </w:r>
    </w:p>
    <w:p>
      <w:pPr>
        <w:pStyle w:val="P12"/>
        <w:framePr w:w="6710" w:h="607" w:hRule="exact" w:wrap="none" w:vAnchor="page" w:hAnchor="margin" w:x="45" w:y="13150"/>
        <w:rPr>
          <w:rStyle w:val="C3"/>
          <w:rtl w:val="0"/>
        </w:rPr>
      </w:pPr>
    </w:p>
    <w:p>
      <w:pPr>
        <w:pStyle w:val="P13"/>
        <w:framePr w:w="6658" w:h="480" w:hRule="exact" w:wrap="none" w:vAnchor="page" w:hAnchor="margin" w:x="71" w:y="13206"/>
        <w:rPr>
          <w:rStyle w:val="C11"/>
          <w:rtl w:val="0"/>
        </w:rPr>
      </w:pPr>
      <w:r>
        <w:rPr>
          <w:rStyle w:val="C11"/>
          <w:rtl w:val="0"/>
        </w:rPr>
        <w:t>a) Provést vyúčtování se zákazníkem - vypsat a předložit účetní doklad, vyjmenovat náležitosti účetního dokladu a zjednodušeného účetního dokladu</w:t>
      </w:r>
    </w:p>
    <w:p>
      <w:pPr>
        <w:pStyle w:val="P28"/>
        <w:framePr w:w="3921" w:h="607" w:hRule="exact" w:wrap="none" w:vAnchor="page" w:hAnchor="margin" w:x="6800" w:y="13150"/>
        <w:rPr>
          <w:rStyle w:val="C3"/>
          <w:rtl w:val="0"/>
        </w:rPr>
      </w:pPr>
    </w:p>
    <w:p>
      <w:pPr>
        <w:pStyle w:val="P29"/>
        <w:framePr w:w="3839" w:h="480" w:hRule="exact" w:wrap="none" w:vAnchor="page" w:hAnchor="margin" w:x="6856" w:y="13206"/>
        <w:rPr>
          <w:rStyle w:val="C21"/>
          <w:rtl w:val="0"/>
        </w:rPr>
      </w:pPr>
      <w:r>
        <w:rPr>
          <w:rStyle w:val="C21"/>
          <w:rtl w:val="0"/>
        </w:rPr>
        <w:t>Praktické předvedení</w:t>
      </w:r>
    </w:p>
    <w:p>
      <w:pPr>
        <w:pStyle w:val="P16"/>
        <w:framePr w:w="6710" w:h="376" w:hRule="exact" w:wrap="none" w:vAnchor="page" w:hAnchor="margin" w:x="45" w:y="13756"/>
        <w:rPr>
          <w:rStyle w:val="C3"/>
          <w:rtl w:val="0"/>
        </w:rPr>
      </w:pPr>
    </w:p>
    <w:p>
      <w:pPr>
        <w:pStyle w:val="P17"/>
        <w:framePr w:w="6658" w:h="249" w:hRule="exact" w:wrap="none" w:vAnchor="page" w:hAnchor="margin" w:x="71" w:y="13812"/>
        <w:rPr>
          <w:rStyle w:val="C13"/>
          <w:rtl w:val="0"/>
        </w:rPr>
      </w:pPr>
      <w:r>
        <w:rPr>
          <w:rStyle w:val="C13"/>
          <w:rtl w:val="0"/>
        </w:rPr>
        <w:t>b) Vypočítat DPH dle platné legislativy</w:t>
      </w:r>
    </w:p>
    <w:p>
      <w:pPr>
        <w:pStyle w:val="P30"/>
        <w:framePr w:w="3921" w:h="376" w:hRule="exact" w:wrap="none" w:vAnchor="page" w:hAnchor="margin" w:x="6800" w:y="13756"/>
        <w:rPr>
          <w:rStyle w:val="C3"/>
          <w:rtl w:val="0"/>
        </w:rPr>
      </w:pPr>
    </w:p>
    <w:p>
      <w:pPr>
        <w:pStyle w:val="P31"/>
        <w:framePr w:w="3839" w:h="249" w:hRule="exact" w:wrap="none" w:vAnchor="page" w:hAnchor="margin" w:x="6856" w:y="13812"/>
        <w:rPr>
          <w:rStyle w:val="C22"/>
          <w:rtl w:val="0"/>
        </w:rPr>
      </w:pPr>
      <w:r>
        <w:rPr>
          <w:rStyle w:val="C22"/>
          <w:rtl w:val="0"/>
        </w:rPr>
        <w:t>Praktické předvedení</w:t>
      </w:r>
    </w:p>
    <w:p>
      <w:pPr>
        <w:pStyle w:val="P12"/>
        <w:framePr w:w="6710" w:h="607" w:hRule="exact" w:wrap="none" w:vAnchor="page" w:hAnchor="margin" w:x="45" w:y="14133"/>
        <w:rPr>
          <w:rStyle w:val="C3"/>
          <w:rtl w:val="0"/>
        </w:rPr>
      </w:pPr>
    </w:p>
    <w:p>
      <w:pPr>
        <w:pStyle w:val="P13"/>
        <w:framePr w:w="6658" w:h="480" w:hRule="exact" w:wrap="none" w:vAnchor="page" w:hAnchor="margin" w:x="71" w:y="14189"/>
        <w:rPr>
          <w:rStyle w:val="C11"/>
          <w:rtl w:val="0"/>
        </w:rPr>
      </w:pPr>
      <w:r>
        <w:rPr>
          <w:rStyle w:val="C11"/>
          <w:rtl w:val="0"/>
        </w:rPr>
        <w:t>c) Přijmout a vyúčtovat se zákazníkem platbu v hotovosti včetně dopočítávání při vracení peněz na větší bankovky</w:t>
      </w:r>
    </w:p>
    <w:p>
      <w:pPr>
        <w:pStyle w:val="P28"/>
        <w:framePr w:w="3921" w:h="607" w:hRule="exact" w:wrap="none" w:vAnchor="page" w:hAnchor="margin" w:x="6800" w:y="14133"/>
        <w:rPr>
          <w:rStyle w:val="C3"/>
          <w:rtl w:val="0"/>
        </w:rPr>
      </w:pPr>
    </w:p>
    <w:p>
      <w:pPr>
        <w:pStyle w:val="P29"/>
        <w:framePr w:w="3839" w:h="480" w:hRule="exact" w:wrap="none" w:vAnchor="page" w:hAnchor="margin" w:x="6856" w:y="14189"/>
        <w:rPr>
          <w:rStyle w:val="C21"/>
          <w:rtl w:val="0"/>
        </w:rPr>
      </w:pPr>
      <w:r>
        <w:rPr>
          <w:rStyle w:val="C21"/>
          <w:rtl w:val="0"/>
        </w:rPr>
        <w:t>Praktické předvedení</w:t>
      </w:r>
    </w:p>
    <w:p>
      <w:pPr>
        <w:pStyle w:val="P16"/>
        <w:framePr w:w="6710" w:h="376" w:hRule="exact" w:wrap="none" w:vAnchor="page" w:hAnchor="margin" w:x="45" w:y="14740"/>
        <w:rPr>
          <w:rStyle w:val="C3"/>
          <w:rtl w:val="0"/>
        </w:rPr>
      </w:pPr>
    </w:p>
    <w:p>
      <w:pPr>
        <w:pStyle w:val="P17"/>
        <w:framePr w:w="6658" w:h="249" w:hRule="exact" w:wrap="none" w:vAnchor="page" w:hAnchor="margin" w:x="71" w:y="14796"/>
        <w:rPr>
          <w:rStyle w:val="C13"/>
          <w:rtl w:val="0"/>
        </w:rPr>
      </w:pPr>
      <w:r>
        <w:rPr>
          <w:rStyle w:val="C13"/>
          <w:rtl w:val="0"/>
        </w:rPr>
        <w:t>d) Provést zápis zakázky do formuláře „Zakázkový list“</w:t>
      </w:r>
    </w:p>
    <w:p>
      <w:pPr>
        <w:pStyle w:val="P30"/>
        <w:framePr w:w="3921" w:h="376" w:hRule="exact" w:wrap="none" w:vAnchor="page" w:hAnchor="margin" w:x="6800" w:y="14740"/>
        <w:rPr>
          <w:rStyle w:val="C3"/>
          <w:rtl w:val="0"/>
        </w:rPr>
      </w:pPr>
    </w:p>
    <w:p>
      <w:pPr>
        <w:pStyle w:val="P31"/>
        <w:framePr w:w="3839" w:h="249" w:hRule="exact" w:wrap="none" w:vAnchor="page" w:hAnchor="margin" w:x="6856" w:y="14796"/>
        <w:rPr>
          <w:rStyle w:val="C22"/>
          <w:rtl w:val="0"/>
        </w:rPr>
      </w:pPr>
      <w:r>
        <w:rPr>
          <w:rStyle w:val="C22"/>
          <w:rtl w:val="0"/>
        </w:rPr>
        <w:t>Praktické předvedení</w:t>
      </w:r>
    </w:p>
    <w:p>
      <w:pPr>
        <w:pStyle w:val="P12"/>
        <w:framePr w:w="6710" w:h="376" w:hRule="exact" w:wrap="none" w:vAnchor="page" w:hAnchor="margin" w:x="45" w:y="15116"/>
        <w:rPr>
          <w:rStyle w:val="C3"/>
          <w:rtl w:val="0"/>
        </w:rPr>
      </w:pPr>
    </w:p>
    <w:p>
      <w:pPr>
        <w:pStyle w:val="P13"/>
        <w:framePr w:w="6658" w:h="249" w:hRule="exact" w:wrap="none" w:vAnchor="page" w:hAnchor="margin" w:x="71" w:y="15172"/>
        <w:rPr>
          <w:rStyle w:val="C11"/>
          <w:rtl w:val="0"/>
        </w:rPr>
      </w:pPr>
      <w:r>
        <w:rPr>
          <w:rStyle w:val="C11"/>
          <w:rtl w:val="0"/>
        </w:rPr>
        <w:t>e) Vyhotovit evidenci zakázky</w:t>
      </w:r>
    </w:p>
    <w:p>
      <w:pPr>
        <w:pStyle w:val="P28"/>
        <w:framePr w:w="3921" w:h="376" w:hRule="exact" w:wrap="none" w:vAnchor="page" w:hAnchor="margin" w:x="6800" w:y="15116"/>
        <w:rPr>
          <w:rStyle w:val="C3"/>
          <w:rtl w:val="0"/>
        </w:rPr>
      </w:pPr>
    </w:p>
    <w:p>
      <w:pPr>
        <w:pStyle w:val="P29"/>
        <w:framePr w:w="3839" w:h="249" w:hRule="exact" w:wrap="none" w:vAnchor="page" w:hAnchor="margin" w:x="6856" w:y="15172"/>
        <w:rPr>
          <w:rStyle w:val="C21"/>
          <w:rtl w:val="0"/>
        </w:rPr>
      </w:pPr>
      <w:r>
        <w:rPr>
          <w:rStyle w:val="C21"/>
          <w:rtl w:val="0"/>
        </w:rPr>
        <w:t>Praktické předvedení</w:t>
      </w:r>
    </w:p>
    <w:p>
      <w:pPr>
        <w:pStyle w:val="P32"/>
        <w:framePr w:w="10710" w:h="248" w:hRule="exact" w:wrap="none" w:vAnchor="page" w:hAnchor="margin" w:x="28" w:y="15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u zákazníků, 18.6.2026 17:10:38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ustanovení příslušných zákonů v oblasti ochrany práv spotřebitele, reklamací a odpovědnosti za škodu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Servisní pracovník/pracovnice u zákazníků, 18.6.2026 17:10:38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Dále stanoví, které pomůcky uchazeč při zkoušce smí používat.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musí připravit minimálně 10 modelových situací pro praktickou část zkoušky, které musí být použity tak, aby ověřily všechny kompetence. Ústní část zkoušky je vhodné vést formou rozhovoru, autorizovaná osoba se může doptávat na upřesnění. Pro ověření kompetence Orientace v příslušné legislativě je vhodné připravit sadu minimálně 5 otázek s uzavřenými nebo otevřenými možnostmi odpovědí. V případě, že se autorizovaná osoba rozhodne pro ověření s využitím testu, je povinna postupovat podle pravidel pro aplikaci testů jako způsobu ověřování.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DK navazuje na kvalifikace řemeslného či službového charakteru týkající se instalace, servisu a opravy zařízení a vybavení domácností i firem.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2072"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80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Servisní pracovník/pracovnice u zákazníků, 18.6.2026 17:10:38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7 let praxe v dalším vzdělávání. Z toho minimálně jeden rok v období posledních dvou let před podáním žádosti o udělení autorizace.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praxe v dalším vzdělávání. Z toho minimálně jeden rok v období posledních dvou let před podáním žádosti o udělení autorizace.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praxe v dalším vzdělávání. Z toho minimálně jeden rok v období posledních dvou let před podáním žádosti o udělení autorizace.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doložit minimálně 3 reference z projektů v oblasti péče o zákazníka, komunikace se zákazníkem a obchodních dovedností vystavené a potvrzené zaměstnavatelem, nebo zadavatelem.</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2908"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denním osvětlením</w:t>
      </w:r>
    </w:p>
    <w:p>
      <w:pPr>
        <w:keepNext w:val="0"/>
        <w:keepLines w:val="0"/>
        <w:framePr w:w="10766" w:h="2908"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Standardní vybavení kancelářským nábytkem, flipchart a potřeby na psaní</w:t>
      </w:r>
    </w:p>
    <w:p>
      <w:pPr>
        <w:keepNext w:val="0"/>
        <w:keepLines w:val="0"/>
        <w:framePr w:w="10766" w:h="2908"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Telefon (mobilní nebo pevná linka) k ověření dovedností v telefonické komunikaci se zákazníkem</w:t>
      </w:r>
    </w:p>
    <w:p>
      <w:pPr>
        <w:keepNext w:val="0"/>
        <w:keepLines w:val="0"/>
        <w:framePr w:w="10766" w:h="2908"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platné právní normy z oblasti ochrany práv spotřebitele, reklamací, odpovědnosti za škodu</w:t>
      </w:r>
    </w:p>
    <w:p>
      <w:pPr>
        <w:keepNext w:val="0"/>
        <w:keepLines w:val="0"/>
        <w:framePr w:w="10766" w:h="2908"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557"/>
        <w:rPr>
          <w:rStyle w:val="C3"/>
          <w:rtl w:val="0"/>
        </w:rPr>
      </w:pPr>
    </w:p>
    <w:p>
      <w:pPr>
        <w:pStyle w:val="P35"/>
        <w:framePr w:w="10710" w:h="340" w:hRule="exact" w:wrap="none" w:vAnchor="page" w:hAnchor="margin" w:x="28" w:y="12557"/>
        <w:rPr>
          <w:rStyle w:val="C25"/>
          <w:rtl w:val="0"/>
        </w:rPr>
      </w:pPr>
      <w:r>
        <w:rPr>
          <w:rStyle w:val="C25"/>
          <w:rtl w:val="0"/>
        </w:rPr>
        <w:t>Doba přípravy na zkoušku</w:t>
      </w:r>
    </w:p>
    <w:p>
      <w:pPr>
        <w:keepNext w:val="0"/>
        <w:keepLines w:val="0"/>
        <w:framePr w:w="10766" w:h="1036" w:hRule="exact" w:wrap="none" w:vAnchor="page" w:hAnchor="margin" w:x="0" w:y="1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4160"/>
        <w:rPr>
          <w:rStyle w:val="C3"/>
          <w:rtl w:val="0"/>
        </w:rPr>
      </w:pPr>
    </w:p>
    <w:p>
      <w:pPr>
        <w:pStyle w:val="P35"/>
        <w:framePr w:w="10710" w:h="340" w:hRule="exact" w:wrap="none" w:vAnchor="page" w:hAnchor="margin" w:x="28" w:y="14160"/>
        <w:rPr>
          <w:rStyle w:val="C25"/>
          <w:rtl w:val="0"/>
        </w:rPr>
      </w:pPr>
      <w:r>
        <w:rPr>
          <w:rStyle w:val="C25"/>
          <w:rtl w:val="0"/>
        </w:rPr>
        <w:t>Doba pro vykonání zkoušky</w:t>
      </w:r>
    </w:p>
    <w:p>
      <w:pPr>
        <w:keepNext w:val="0"/>
        <w:keepLines w:val="0"/>
        <w:framePr w:w="10766" w:h="806" w:hRule="exact" w:wrap="none" w:vAnchor="page" w:hAnchor="margin" w:x="0" w:y="14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2 hodiny (hodinou se rozumí 60 minut).</w:t>
      </w:r>
    </w:p>
    <w:p>
      <w:pPr>
        <w:pStyle w:val="P21"/>
        <w:framePr w:w="7654" w:h="331" w:hRule="exact" w:wrap="none" w:vAnchor="page" w:hAnchor="margin" w:x="28" w:y="15940"/>
        <w:rPr>
          <w:rStyle w:val="C16"/>
          <w:rtl w:val="0"/>
        </w:rPr>
      </w:pPr>
      <w:r>
        <w:rPr>
          <w:rStyle w:val="C16"/>
          <w:rtl w:val="0"/>
        </w:rPr>
        <w:t>Servisní pracovník/pracovnice u zákazníků, 18.6.2026 17:10:38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management a administrativu, v níž byly zastoupeny:</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 Plan ČR,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Management Consulting</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Johnson Controls </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Baest,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personálních služeb</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UniCredit Bank Czech Republic</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VZP ČR</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práce a sociálních věcí </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ústav odborného vzdělávání v Praze </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BUSINESS LINK,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PROCORTEX</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O2 Czech Republic, a.s.</w:t>
      </w:r>
    </w:p>
    <w:p>
      <w:pPr>
        <w:pStyle w:val="P21"/>
        <w:framePr w:w="7654" w:h="331" w:hRule="exact" w:wrap="none" w:vAnchor="page" w:hAnchor="margin" w:x="28" w:y="15940"/>
        <w:rPr>
          <w:rStyle w:val="C16"/>
          <w:rtl w:val="0"/>
        </w:rPr>
      </w:pPr>
      <w:r>
        <w:rPr>
          <w:rStyle w:val="C16"/>
          <w:rtl w:val="0"/>
        </w:rPr>
        <w:t>Servisní pracovník/pracovnice u zákazníků, 18.6.2026 17:10:38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