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DD83F" Type="http://schemas.openxmlformats.org/officeDocument/2006/relationships/officeDocument" Target="/word/document.xml" /><Relationship Id="coreR736DD83F" Type="http://schemas.openxmlformats.org/package/2006/relationships/metadata/core-properties" Target="/docProps/core.xml" /><Relationship Id="customR736DD8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dotační politice EU a ČR vztahující se k zemědělskému podnikání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Posouzení podmínek kontrol podmíněnosti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Popis omezujících podmínek hospodaření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databázemi a informačními systémy v oblasti zemědělství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projektu a jeho prezentace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půdní typy a druhy a jejich vliv na výživu a růst rostlin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půdní úrodnost a způsoby udržování a zvyšování půdní úrodnosti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bonitovaná půdně-ekologická jednotka (BPEJ) a jeho význam, využití v praxi a složení pětimístného kódu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Zjistit předpověď počasí a zhodnotit vliv zjištěných povětrnostních podmínek na růst a vývoj plodin. Vyjmenovat hlavní meteorologické prvky a jejich vliv na produkci plodin</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prognózu opatření za vegetace s ohledem na předpověď počasí u jedné ze zadaných skupin plodin – obiloviny, okopaniny, olejniny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kritérium b) a e) a jedno další kritérium z ostatních uvedených kritérií.</w:t>
      </w:r>
    </w:p>
    <w:p>
      <w:pPr>
        <w:pStyle w:val="P23"/>
        <w:framePr w:w="10710" w:h="340" w:hRule="exact" w:wrap="none" w:vAnchor="page" w:hAnchor="margin" w:x="28" w:y="7711"/>
        <w:rPr>
          <w:rStyle w:val="C18"/>
          <w:rtl w:val="0"/>
        </w:rPr>
      </w:pPr>
      <w:r>
        <w:rPr>
          <w:rStyle w:val="C18"/>
          <w:rtl w:val="0"/>
        </w:rPr>
        <w:t>Vypracování osevních sledů a plánů hnojení</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831" w:hRule="exact" w:wrap="none" w:vAnchor="page" w:hAnchor="margin" w:x="45" w:y="8527"/>
        <w:rPr>
          <w:rStyle w:val="C3"/>
          <w:rtl w:val="0"/>
        </w:rPr>
      </w:pPr>
    </w:p>
    <w:p>
      <w:pPr>
        <w:pStyle w:val="P13"/>
        <w:framePr w:w="6658" w:h="704" w:hRule="exact" w:wrap="none" w:vAnchor="page" w:hAnchor="margin" w:x="71" w:y="8583"/>
        <w:rPr>
          <w:rStyle w:val="C11"/>
          <w:rtl w:val="0"/>
        </w:rPr>
      </w:pPr>
      <w:r>
        <w:rPr>
          <w:rStyle w:val="C11"/>
          <w:rtl w:val="0"/>
        </w:rPr>
        <w:t>a) Zpracovat 5letý osevní sled při zadané struktuře zemědělských plodin – pšenice, ječmen, kukuřice, řepka, brambory; uvést zásady střídání plodin a rizika víceletého pěstování 1 plodiny na pozemku</w:t>
      </w:r>
    </w:p>
    <w:p>
      <w:pPr>
        <w:pStyle w:val="P28"/>
        <w:framePr w:w="3921" w:h="831" w:hRule="exact" w:wrap="none" w:vAnchor="page" w:hAnchor="margin" w:x="6800" w:y="8527"/>
        <w:rPr>
          <w:rStyle w:val="C3"/>
          <w:rtl w:val="0"/>
        </w:rPr>
      </w:pPr>
    </w:p>
    <w:p>
      <w:pPr>
        <w:pStyle w:val="P29"/>
        <w:framePr w:w="3839" w:h="704" w:hRule="exact" w:wrap="none" w:vAnchor="page" w:hAnchor="margin" w:x="6856" w:y="8583"/>
        <w:rPr>
          <w:rStyle w:val="C21"/>
          <w:rtl w:val="0"/>
        </w:rPr>
      </w:pPr>
      <w:r>
        <w:rPr>
          <w:rStyle w:val="C21"/>
          <w:rtl w:val="0"/>
        </w:rPr>
        <w:t>Praktické předvedení</w:t>
      </w:r>
    </w:p>
    <w:p>
      <w:pPr>
        <w:pStyle w:val="P16"/>
        <w:framePr w:w="6710" w:h="831" w:hRule="exact" w:wrap="none" w:vAnchor="page" w:hAnchor="margin" w:x="45" w:y="9358"/>
        <w:rPr>
          <w:rStyle w:val="C3"/>
          <w:rtl w:val="0"/>
        </w:rPr>
      </w:pPr>
    </w:p>
    <w:p>
      <w:pPr>
        <w:pStyle w:val="P17"/>
        <w:framePr w:w="6658" w:h="704" w:hRule="exact" w:wrap="none" w:vAnchor="page" w:hAnchor="margin" w:x="71" w:y="9414"/>
        <w:rPr>
          <w:rStyle w:val="C13"/>
          <w:rtl w:val="0"/>
        </w:rPr>
      </w:pPr>
      <w:r>
        <w:rPr>
          <w:rStyle w:val="C13"/>
          <w:rtl w:val="0"/>
        </w:rPr>
        <w:t>b) Vysvětlit význam dodržování osevních sledů; vysvětlit přednosti a nedostatky zemědělských plodin zařazených v osevním sledu; navrhnout praktická opatření v případě nedodržení těchto zásad</w:t>
      </w:r>
    </w:p>
    <w:p>
      <w:pPr>
        <w:pStyle w:val="P30"/>
        <w:framePr w:w="3921" w:h="831" w:hRule="exact" w:wrap="none" w:vAnchor="page" w:hAnchor="margin" w:x="6800" w:y="9358"/>
        <w:rPr>
          <w:rStyle w:val="C3"/>
          <w:rtl w:val="0"/>
        </w:rPr>
      </w:pPr>
    </w:p>
    <w:p>
      <w:pPr>
        <w:pStyle w:val="P31"/>
        <w:framePr w:w="3839" w:h="704" w:hRule="exact" w:wrap="none" w:vAnchor="page" w:hAnchor="margin" w:x="6856" w:y="9414"/>
        <w:rPr>
          <w:rStyle w:val="C22"/>
          <w:rtl w:val="0"/>
        </w:rPr>
      </w:pPr>
      <w:r>
        <w:rPr>
          <w:rStyle w:val="C22"/>
          <w:rtl w:val="0"/>
        </w:rPr>
        <w:t>Ústní nebo písemné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Zpracovat plán hnojení na 5 let pro daný pozemek a osevní postup</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Vyjmenovat omezující faktory hnojení v zemědělské praxi</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e) Vyjmenovat a poznat minerální hnojiva obsahující základní živiny N, P, K a uvést obsah živin u nejvýznamnějších hnojiv</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nebo písemné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f) Vyjmenovat organická a statková hnojiva a vysvětlit zásady jejich aplikace a skladování</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g) Uvést faktory ovlivňující příjem živin a rozpoznat nejznámější příznaky nedostatku nebo nadbytku základních živin a mikroelementů u základních zemědělských plodin</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nebo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h) Zjistit odběry základních živin u zadaných zemědělských plodin</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nebo ústní ověření</w:t>
      </w:r>
    </w:p>
    <w:p>
      <w:pPr>
        <w:pStyle w:val="P32"/>
        <w:framePr w:w="10710" w:h="248" w:hRule="exact" w:wrap="none" w:vAnchor="page" w:hAnchor="margin" w:x="28" w:y="13476"/>
        <w:rPr>
          <w:rStyle w:val="C23"/>
          <w:rtl w:val="0"/>
        </w:rPr>
      </w:pPr>
      <w:r>
        <w:rPr>
          <w:rStyle w:val="C23"/>
          <w:rtl w:val="0"/>
        </w:rPr>
        <w:t>Je nutné splnit kritéria a) a d) a dvě další kritéria z ostatních uvedených kritérií.</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2 zemědělských plodin, z toho jedné obiloviny,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nebo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před založením porostu, určit vyskytující se plevele a škodlivé činitele, stanovit vhodný způsob přípravy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obiloviny,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nebo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32"/>
        <w:framePr w:w="10710" w:h="248" w:hRule="exact" w:wrap="none" w:vAnchor="page" w:hAnchor="margin" w:x="28" w:y="8220"/>
        <w:rPr>
          <w:rStyle w:val="C23"/>
          <w:rtl w:val="0"/>
        </w:rPr>
      </w:pPr>
      <w:r>
        <w:rPr>
          <w:rStyle w:val="C23"/>
          <w:rtl w:val="0"/>
        </w:rPr>
        <w:t>Je třeba splnit obě kritéria.</w:t>
      </w:r>
    </w:p>
    <w:p>
      <w:pPr>
        <w:pStyle w:val="P23"/>
        <w:framePr w:w="10710" w:h="340" w:hRule="exact" w:wrap="none" w:vAnchor="page" w:hAnchor="margin" w:x="28" w:y="8656"/>
        <w:rPr>
          <w:rStyle w:val="C18"/>
          <w:rtl w:val="0"/>
        </w:rPr>
      </w:pPr>
      <w:r>
        <w:rPr>
          <w:rStyle w:val="C18"/>
          <w:rtl w:val="0"/>
        </w:rPr>
        <w:t>Návrh sklizně zemědělských plodin, posklizňového ošetření a konzervace</w:t>
      </w:r>
    </w:p>
    <w:p>
      <w:pPr>
        <w:pStyle w:val="P24"/>
        <w:framePr w:w="6713" w:h="376" w:hRule="exact" w:wrap="none" w:vAnchor="page" w:hAnchor="margin" w:x="45" w:y="9095"/>
        <w:rPr>
          <w:rStyle w:val="C3"/>
          <w:rtl w:val="0"/>
        </w:rPr>
      </w:pPr>
    </w:p>
    <w:p>
      <w:pPr>
        <w:pStyle w:val="P25"/>
        <w:framePr w:w="6661" w:h="249" w:hRule="exact" w:wrap="none" w:vAnchor="page" w:hAnchor="margin" w:x="71" w:y="9166"/>
        <w:rPr>
          <w:rStyle w:val="C19"/>
          <w:rtl w:val="0"/>
        </w:rPr>
      </w:pPr>
      <w:r>
        <w:rPr>
          <w:rStyle w:val="C19"/>
          <w:rtl w:val="0"/>
        </w:rPr>
        <w:t>Kritéria hodnocení</w:t>
      </w:r>
    </w:p>
    <w:p>
      <w:pPr>
        <w:pStyle w:val="P26"/>
        <w:framePr w:w="3918" w:h="376" w:hRule="exact" w:wrap="none" w:vAnchor="page" w:hAnchor="margin" w:x="6803" w:y="9095"/>
        <w:rPr>
          <w:rStyle w:val="C3"/>
          <w:rtl w:val="0"/>
        </w:rPr>
      </w:pPr>
    </w:p>
    <w:p>
      <w:pPr>
        <w:pStyle w:val="P27"/>
        <w:framePr w:w="3836" w:h="249" w:hRule="exact" w:wrap="none" w:vAnchor="page" w:hAnchor="margin" w:x="6859" w:y="9166"/>
        <w:rPr>
          <w:rStyle w:val="C20"/>
          <w:rtl w:val="0"/>
        </w:rPr>
      </w:pPr>
      <w:r>
        <w:rPr>
          <w:rStyle w:val="C20"/>
          <w:rtl w:val="0"/>
        </w:rPr>
        <w:t>Způsoby ověření</w:t>
      </w:r>
    </w:p>
    <w:p>
      <w:pPr>
        <w:pStyle w:val="P12"/>
        <w:framePr w:w="6710" w:h="1055" w:hRule="exact" w:wrap="none" w:vAnchor="page" w:hAnchor="margin" w:x="45" w:y="9472"/>
        <w:rPr>
          <w:rStyle w:val="C3"/>
          <w:rtl w:val="0"/>
        </w:rPr>
      </w:pPr>
    </w:p>
    <w:p>
      <w:pPr>
        <w:pStyle w:val="P13"/>
        <w:framePr w:w="6658" w:h="928" w:hRule="exact" w:wrap="none" w:vAnchor="page" w:hAnchor="margin" w:x="71" w:y="9528"/>
        <w:rPr>
          <w:rStyle w:val="C11"/>
          <w:rtl w:val="0"/>
        </w:rPr>
      </w:pPr>
      <w:r>
        <w:rPr>
          <w:rStyle w:val="C11"/>
          <w:rtl w:val="0"/>
        </w:rPr>
        <w:t>a) Zpracovat návrh nejvhodnější technologie sklizně dvou zemědělských plodin, z toho jedné obiloviny, v zadaných podmínkách včetně stanovení zralosti (sušiny) pro zahájení sklizně, sestavení sklizňové linky a popsání posklizňového ošetření, případně konzervace</w:t>
      </w:r>
    </w:p>
    <w:p>
      <w:pPr>
        <w:pStyle w:val="P28"/>
        <w:framePr w:w="3921" w:h="1055" w:hRule="exact" w:wrap="none" w:vAnchor="page" w:hAnchor="margin" w:x="6800" w:y="9472"/>
        <w:rPr>
          <w:rStyle w:val="C3"/>
          <w:rtl w:val="0"/>
        </w:rPr>
      </w:pPr>
    </w:p>
    <w:p>
      <w:pPr>
        <w:pStyle w:val="P29"/>
        <w:framePr w:w="3839" w:h="928" w:hRule="exact" w:wrap="none" w:vAnchor="page" w:hAnchor="margin" w:x="6856" w:y="9528"/>
        <w:rPr>
          <w:rStyle w:val="C21"/>
          <w:rtl w:val="0"/>
        </w:rPr>
      </w:pPr>
      <w:r>
        <w:rPr>
          <w:rStyle w:val="C21"/>
          <w:rtl w:val="0"/>
        </w:rPr>
        <w:t>Písemné nebo ústní ověření</w:t>
      </w:r>
    </w:p>
    <w:p>
      <w:pPr>
        <w:pStyle w:val="P16"/>
        <w:framePr w:w="6710" w:h="831" w:hRule="exact" w:wrap="none" w:vAnchor="page" w:hAnchor="margin" w:x="45" w:y="10527"/>
        <w:rPr>
          <w:rStyle w:val="C3"/>
          <w:rtl w:val="0"/>
        </w:rPr>
      </w:pPr>
    </w:p>
    <w:p>
      <w:pPr>
        <w:pStyle w:val="P17"/>
        <w:framePr w:w="6658" w:h="704" w:hRule="exact" w:wrap="none" w:vAnchor="page" w:hAnchor="margin" w:x="71" w:y="10583"/>
        <w:rPr>
          <w:rStyle w:val="C13"/>
          <w:rtl w:val="0"/>
        </w:rPr>
      </w:pPr>
      <w:r>
        <w:rPr>
          <w:rStyle w:val="C13"/>
          <w:rtl w:val="0"/>
        </w:rPr>
        <w:t>b) Stanovit v porostu plodiny určené ke sklizni stupeň zralosti, odhadnout termín začátku sklizně a navrhnout nejvhodnější technologie sklizně, včetně posklizňového ošetření na konkrétním pozemku</w:t>
      </w:r>
    </w:p>
    <w:p>
      <w:pPr>
        <w:pStyle w:val="P30"/>
        <w:framePr w:w="3921" w:h="831" w:hRule="exact" w:wrap="none" w:vAnchor="page" w:hAnchor="margin" w:x="6800" w:y="10527"/>
        <w:rPr>
          <w:rStyle w:val="C3"/>
          <w:rtl w:val="0"/>
        </w:rPr>
      </w:pPr>
    </w:p>
    <w:p>
      <w:pPr>
        <w:pStyle w:val="P31"/>
        <w:framePr w:w="3839" w:h="704" w:hRule="exact" w:wrap="none" w:vAnchor="page" w:hAnchor="margin" w:x="6856" w:y="10583"/>
        <w:rPr>
          <w:rStyle w:val="C22"/>
          <w:rtl w:val="0"/>
        </w:rPr>
      </w:pPr>
      <w:r>
        <w:rPr>
          <w:rStyle w:val="C22"/>
          <w:rtl w:val="0"/>
        </w:rPr>
        <w:t>Praktické předvedení</w:t>
      </w:r>
    </w:p>
    <w:p>
      <w:pPr>
        <w:pStyle w:val="P32"/>
        <w:framePr w:w="10710" w:h="248" w:hRule="exact" w:wrap="none" w:vAnchor="page" w:hAnchor="margin" w:x="28" w:y="11471"/>
        <w:rPr>
          <w:rStyle w:val="C23"/>
          <w:rtl w:val="0"/>
        </w:rPr>
      </w:pPr>
      <w:r>
        <w:rPr>
          <w:rStyle w:val="C23"/>
          <w:rtl w:val="0"/>
        </w:rPr>
        <w:t>Je třeba splnit obě kritéria.</w:t>
      </w:r>
    </w:p>
    <w:p>
      <w:pPr>
        <w:pStyle w:val="P23"/>
        <w:framePr w:w="10710" w:h="340" w:hRule="exact" w:wrap="none" w:vAnchor="page" w:hAnchor="margin" w:x="28" w:y="11907"/>
        <w:rPr>
          <w:rStyle w:val="C18"/>
          <w:rtl w:val="0"/>
        </w:rPr>
      </w:pPr>
      <w:r>
        <w:rPr>
          <w:rStyle w:val="C18"/>
          <w:rtl w:val="0"/>
        </w:rPr>
        <w:t>Vedení prvotní evidence v zemědělském podniku</w:t>
      </w:r>
    </w:p>
    <w:p>
      <w:pPr>
        <w:pStyle w:val="P24"/>
        <w:framePr w:w="6713" w:h="376" w:hRule="exact" w:wrap="none" w:vAnchor="page" w:hAnchor="margin" w:x="45" w:y="12346"/>
        <w:rPr>
          <w:rStyle w:val="C3"/>
          <w:rtl w:val="0"/>
        </w:rPr>
      </w:pPr>
    </w:p>
    <w:p>
      <w:pPr>
        <w:pStyle w:val="P25"/>
        <w:framePr w:w="6661" w:h="249" w:hRule="exact" w:wrap="none" w:vAnchor="page" w:hAnchor="margin" w:x="71" w:y="12417"/>
        <w:rPr>
          <w:rStyle w:val="C19"/>
          <w:rtl w:val="0"/>
        </w:rPr>
      </w:pPr>
      <w:r>
        <w:rPr>
          <w:rStyle w:val="C19"/>
          <w:rtl w:val="0"/>
        </w:rPr>
        <w:t>Kritéria hodnocení</w:t>
      </w:r>
    </w:p>
    <w:p>
      <w:pPr>
        <w:pStyle w:val="P26"/>
        <w:framePr w:w="3918" w:h="376" w:hRule="exact" w:wrap="none" w:vAnchor="page" w:hAnchor="margin" w:x="6803" w:y="12346"/>
        <w:rPr>
          <w:rStyle w:val="C3"/>
          <w:rtl w:val="0"/>
        </w:rPr>
      </w:pPr>
    </w:p>
    <w:p>
      <w:pPr>
        <w:pStyle w:val="P27"/>
        <w:framePr w:w="3836" w:h="249" w:hRule="exact" w:wrap="none" w:vAnchor="page" w:hAnchor="margin" w:x="6859" w:y="12417"/>
        <w:rPr>
          <w:rStyle w:val="C20"/>
          <w:rtl w:val="0"/>
        </w:rPr>
      </w:pPr>
      <w:r>
        <w:rPr>
          <w:rStyle w:val="C20"/>
          <w:rtl w:val="0"/>
        </w:rPr>
        <w:t>Způsoby ověření</w:t>
      </w:r>
    </w:p>
    <w:p>
      <w:pPr>
        <w:pStyle w:val="P12"/>
        <w:framePr w:w="6710" w:h="831" w:hRule="exact" w:wrap="none" w:vAnchor="page" w:hAnchor="margin" w:x="45" w:y="12722"/>
        <w:rPr>
          <w:rStyle w:val="C3"/>
          <w:rtl w:val="0"/>
        </w:rPr>
      </w:pPr>
    </w:p>
    <w:p>
      <w:pPr>
        <w:pStyle w:val="P13"/>
        <w:framePr w:w="6658" w:h="704" w:hRule="exact" w:wrap="none" w:vAnchor="page" w:hAnchor="margin" w:x="71" w:y="1277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2722"/>
        <w:rPr>
          <w:rStyle w:val="C3"/>
          <w:rtl w:val="0"/>
        </w:rPr>
      </w:pPr>
    </w:p>
    <w:p>
      <w:pPr>
        <w:pStyle w:val="P29"/>
        <w:framePr w:w="3839" w:h="704" w:hRule="exact" w:wrap="none" w:vAnchor="page" w:hAnchor="margin" w:x="6856" w:y="12778"/>
        <w:rPr>
          <w:rStyle w:val="C21"/>
          <w:rtl w:val="0"/>
        </w:rPr>
      </w:pPr>
      <w:r>
        <w:rPr>
          <w:rStyle w:val="C21"/>
          <w:rtl w:val="0"/>
        </w:rPr>
        <w:t>Ústní ověření nebo praktické předvedení</w:t>
      </w:r>
    </w:p>
    <w:p>
      <w:pPr>
        <w:pStyle w:val="P16"/>
        <w:framePr w:w="6710" w:h="831" w:hRule="exact" w:wrap="none" w:vAnchor="page" w:hAnchor="margin" w:x="45" w:y="13554"/>
        <w:rPr>
          <w:rStyle w:val="C3"/>
          <w:rtl w:val="0"/>
        </w:rPr>
      </w:pPr>
    </w:p>
    <w:p>
      <w:pPr>
        <w:pStyle w:val="P17"/>
        <w:framePr w:w="6658" w:h="704" w:hRule="exact" w:wrap="none" w:vAnchor="page" w:hAnchor="margin" w:x="71" w:y="13610"/>
        <w:rPr>
          <w:rStyle w:val="C13"/>
          <w:rtl w:val="0"/>
        </w:rPr>
      </w:pPr>
      <w:r>
        <w:rPr>
          <w:rStyle w:val="C13"/>
          <w:rtl w:val="0"/>
        </w:rPr>
        <w:t>b) Charakterizovat vedení evidence hnojiv, pomocných látek a upravených kalů; zjistit z předepsané evidence hnojiv, pomocných látek a upravených kalů aplikaci hnojiv na konkrétním pozemku za poslední 3 roky</w:t>
      </w:r>
    </w:p>
    <w:p>
      <w:pPr>
        <w:pStyle w:val="P30"/>
        <w:framePr w:w="3921" w:h="831" w:hRule="exact" w:wrap="none" w:vAnchor="page" w:hAnchor="margin" w:x="6800" w:y="13554"/>
        <w:rPr>
          <w:rStyle w:val="C3"/>
          <w:rtl w:val="0"/>
        </w:rPr>
      </w:pPr>
    </w:p>
    <w:p>
      <w:pPr>
        <w:pStyle w:val="P31"/>
        <w:framePr w:w="3839" w:h="704" w:hRule="exact" w:wrap="none" w:vAnchor="page" w:hAnchor="margin" w:x="6856" w:y="13610"/>
        <w:rPr>
          <w:rStyle w:val="C22"/>
          <w:rtl w:val="0"/>
        </w:rPr>
      </w:pPr>
      <w:r>
        <w:rPr>
          <w:rStyle w:val="C22"/>
          <w:rtl w:val="0"/>
        </w:rPr>
        <w:t>Ústní ověření nebo praktické předvedení</w:t>
      </w:r>
    </w:p>
    <w:p>
      <w:pPr>
        <w:pStyle w:val="P32"/>
        <w:framePr w:w="10710" w:h="248" w:hRule="exact" w:wrap="none" w:vAnchor="page" w:hAnchor="margin" w:x="28" w:y="14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přímé platby a základní principy a požadavky na žadatele u jednotlivých přímých plateb, způsoby podání žádosti; vyhledat program a pravidla na internetu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nebo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aktuální dotační program pro podporu rozvoje venkovského prostoru, jeho jednotlivé části, základní principy a požadavky na žadatele, způsoby podání žádosti o dotaci; popsat zpracování žádosti a souvisejících dokumentů; vyhledat program a pravidla na internetu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další typy dotačních podpor souvisejících se zemědělstvím, zejména národní podpory; vyhledat program a pravidla na internetu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Posouzení podmínek kontrol podmíněnosti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nebo ústní ověření</w:t>
      </w:r>
    </w:p>
    <w:p>
      <w:pPr>
        <w:pStyle w:val="P16"/>
        <w:framePr w:w="6710" w:h="1055" w:hRule="exact" w:wrap="none" w:vAnchor="page" w:hAnchor="margin" w:x="45" w:y="8041"/>
        <w:rPr>
          <w:rStyle w:val="C3"/>
          <w:rtl w:val="0"/>
        </w:rPr>
      </w:pPr>
    </w:p>
    <w:p>
      <w:pPr>
        <w:pStyle w:val="P17"/>
        <w:framePr w:w="6658" w:h="928" w:hRule="exact" w:wrap="none" w:vAnchor="page" w:hAnchor="margin" w:x="71" w:y="8097"/>
        <w:rPr>
          <w:rStyle w:val="C13"/>
          <w:rtl w:val="0"/>
        </w:rPr>
      </w:pPr>
      <w:r>
        <w:rPr>
          <w:rStyle w:val="C13"/>
          <w:rtl w:val="0"/>
        </w:rPr>
        <w:t>b) Představit přehled aktuálně platných požadavků kontroly podmíněnosti ve vztahu ke standardu Dobrého zemědělského a environmentálního stavu (GAEC) a jednotlivým povinným požadavkům na hospodaření (SMR) souvisejícím s rostlinnou výrobou</w:t>
      </w:r>
    </w:p>
    <w:p>
      <w:pPr>
        <w:pStyle w:val="P30"/>
        <w:framePr w:w="3921" w:h="1055" w:hRule="exact" w:wrap="none" w:vAnchor="page" w:hAnchor="margin" w:x="6800" w:y="8041"/>
        <w:rPr>
          <w:rStyle w:val="C3"/>
          <w:rtl w:val="0"/>
        </w:rPr>
      </w:pPr>
    </w:p>
    <w:p>
      <w:pPr>
        <w:pStyle w:val="P31"/>
        <w:framePr w:w="3839" w:h="928" w:hRule="exact" w:wrap="none" w:vAnchor="page" w:hAnchor="margin" w:x="6856" w:y="8097"/>
        <w:rPr>
          <w:rStyle w:val="C22"/>
          <w:rtl w:val="0"/>
        </w:rPr>
      </w:pPr>
      <w:r>
        <w:rPr>
          <w:rStyle w:val="C22"/>
          <w:rtl w:val="0"/>
        </w:rPr>
        <w:t>Písemné nebo ústní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Posoudit na modelové situaci konkrétní nedodržení legislativy v rostlinné výrobě z hlediska standardů Dobrého zemědělského a environmentálního stavu (GAEC), zhodnotit dopady a navrhnout nápravná opatření při tomto nedodržení legislativy</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Posoudit na modelové situaci konkrétní nedodržení legislativy v rostlinné výrobě z hlediska povinných požadavků na hospodaření (SMR), zhodnotit dopady a navrhnout nápravná opatření při tomto nedodržení legislativy</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Praktické předvedení</w:t>
      </w:r>
    </w:p>
    <w:p>
      <w:pPr>
        <w:pStyle w:val="P32"/>
        <w:framePr w:w="10710" w:h="248" w:hRule="exact" w:wrap="none" w:vAnchor="page" w:hAnchor="margin" w:x="28" w:y="11096"/>
        <w:rPr>
          <w:rStyle w:val="C23"/>
          <w:rtl w:val="0"/>
        </w:rPr>
      </w:pPr>
      <w:r>
        <w:rPr>
          <w:rStyle w:val="C23"/>
          <w:rtl w:val="0"/>
        </w:rPr>
        <w:t>Je třeba splnit všechna kritéria.</w:t>
      </w:r>
    </w:p>
    <w:p>
      <w:pPr>
        <w:pStyle w:val="P23"/>
        <w:framePr w:w="10710" w:h="340" w:hRule="exact" w:wrap="none" w:vAnchor="page" w:hAnchor="margin" w:x="28" w:y="11532"/>
        <w:rPr>
          <w:rStyle w:val="C18"/>
          <w:rtl w:val="0"/>
        </w:rPr>
      </w:pPr>
      <w:r>
        <w:rPr>
          <w:rStyle w:val="C18"/>
          <w:rtl w:val="0"/>
        </w:rPr>
        <w:t>Popis omezujících podmínek hospodaření</w:t>
      </w:r>
    </w:p>
    <w:p>
      <w:pPr>
        <w:pStyle w:val="P24"/>
        <w:framePr w:w="6713" w:h="376" w:hRule="exact" w:wrap="none" w:vAnchor="page" w:hAnchor="margin" w:x="45" w:y="11971"/>
        <w:rPr>
          <w:rStyle w:val="C3"/>
          <w:rtl w:val="0"/>
        </w:rPr>
      </w:pPr>
    </w:p>
    <w:p>
      <w:pPr>
        <w:pStyle w:val="P25"/>
        <w:framePr w:w="6661" w:h="249" w:hRule="exact" w:wrap="none" w:vAnchor="page" w:hAnchor="margin" w:x="71" w:y="12042"/>
        <w:rPr>
          <w:rStyle w:val="C19"/>
          <w:rtl w:val="0"/>
        </w:rPr>
      </w:pPr>
      <w:r>
        <w:rPr>
          <w:rStyle w:val="C19"/>
          <w:rtl w:val="0"/>
        </w:rPr>
        <w:t>Kritéria hodnocení</w:t>
      </w:r>
    </w:p>
    <w:p>
      <w:pPr>
        <w:pStyle w:val="P26"/>
        <w:framePr w:w="3918" w:h="376" w:hRule="exact" w:wrap="none" w:vAnchor="page" w:hAnchor="margin" w:x="6803" w:y="11971"/>
        <w:rPr>
          <w:rStyle w:val="C3"/>
          <w:rtl w:val="0"/>
        </w:rPr>
      </w:pPr>
    </w:p>
    <w:p>
      <w:pPr>
        <w:pStyle w:val="P27"/>
        <w:framePr w:w="3836" w:h="249" w:hRule="exact" w:wrap="none" w:vAnchor="page" w:hAnchor="margin" w:x="6859" w:y="12042"/>
        <w:rPr>
          <w:rStyle w:val="C20"/>
          <w:rtl w:val="0"/>
        </w:rPr>
      </w:pPr>
      <w:r>
        <w:rPr>
          <w:rStyle w:val="C20"/>
          <w:rtl w:val="0"/>
        </w:rPr>
        <w:t>Způsoby ověření</w:t>
      </w:r>
    </w:p>
    <w:p>
      <w:pPr>
        <w:pStyle w:val="P12"/>
        <w:framePr w:w="6710" w:h="607" w:hRule="exact" w:wrap="none" w:vAnchor="page" w:hAnchor="margin" w:x="45" w:y="12347"/>
        <w:rPr>
          <w:rStyle w:val="C3"/>
          <w:rtl w:val="0"/>
        </w:rPr>
      </w:pPr>
    </w:p>
    <w:p>
      <w:pPr>
        <w:pStyle w:val="P13"/>
        <w:framePr w:w="6658" w:h="480" w:hRule="exact" w:wrap="none" w:vAnchor="page" w:hAnchor="margin" w:x="71" w:y="12403"/>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12347"/>
        <w:rPr>
          <w:rStyle w:val="C3"/>
          <w:rtl w:val="0"/>
        </w:rPr>
      </w:pPr>
    </w:p>
    <w:p>
      <w:pPr>
        <w:pStyle w:val="P29"/>
        <w:framePr w:w="3839" w:h="480" w:hRule="exact" w:wrap="none" w:vAnchor="page" w:hAnchor="margin" w:x="6856" w:y="12403"/>
        <w:rPr>
          <w:rStyle w:val="C21"/>
          <w:rtl w:val="0"/>
        </w:rPr>
      </w:pPr>
      <w:r>
        <w:rPr>
          <w:rStyle w:val="C21"/>
          <w:rtl w:val="0"/>
        </w:rPr>
        <w:t>Písemné nebo ústní ověření</w:t>
      </w:r>
    </w:p>
    <w:p>
      <w:pPr>
        <w:pStyle w:val="P16"/>
        <w:framePr w:w="6710" w:h="607" w:hRule="exact" w:wrap="none" w:vAnchor="page" w:hAnchor="margin" w:x="45" w:y="12954"/>
        <w:rPr>
          <w:rStyle w:val="C3"/>
          <w:rtl w:val="0"/>
        </w:rPr>
      </w:pPr>
    </w:p>
    <w:p>
      <w:pPr>
        <w:pStyle w:val="P17"/>
        <w:framePr w:w="6658" w:h="480" w:hRule="exact" w:wrap="none" w:vAnchor="page" w:hAnchor="margin" w:x="71" w:y="13010"/>
        <w:rPr>
          <w:rStyle w:val="C13"/>
          <w:rtl w:val="0"/>
        </w:rPr>
      </w:pPr>
      <w:r>
        <w:rPr>
          <w:rStyle w:val="C13"/>
          <w:rtl w:val="0"/>
        </w:rPr>
        <w:t>b) Popsat zásady ochrany vod mimo nitrátově zranitelnou oblast, doporučení pro zadaný modelový případ</w:t>
      </w:r>
    </w:p>
    <w:p>
      <w:pPr>
        <w:pStyle w:val="P30"/>
        <w:framePr w:w="3921" w:h="607" w:hRule="exact" w:wrap="none" w:vAnchor="page" w:hAnchor="margin" w:x="6800" w:y="12954"/>
        <w:rPr>
          <w:rStyle w:val="C3"/>
          <w:rtl w:val="0"/>
        </w:rPr>
      </w:pPr>
    </w:p>
    <w:p>
      <w:pPr>
        <w:pStyle w:val="P31"/>
        <w:framePr w:w="3839" w:h="480" w:hRule="exact" w:wrap="none" w:vAnchor="page" w:hAnchor="margin" w:x="6856" w:y="13010"/>
        <w:rPr>
          <w:rStyle w:val="C22"/>
          <w:rtl w:val="0"/>
        </w:rPr>
      </w:pPr>
      <w:r>
        <w:rPr>
          <w:rStyle w:val="C22"/>
          <w:rtl w:val="0"/>
        </w:rPr>
        <w:t>Písemné nebo ústní ověření</w:t>
      </w:r>
    </w:p>
    <w:p>
      <w:pPr>
        <w:pStyle w:val="P12"/>
        <w:framePr w:w="6710" w:h="607" w:hRule="exact" w:wrap="none" w:vAnchor="page" w:hAnchor="margin" w:x="45" w:y="13561"/>
        <w:rPr>
          <w:rStyle w:val="C3"/>
          <w:rtl w:val="0"/>
        </w:rPr>
      </w:pPr>
    </w:p>
    <w:p>
      <w:pPr>
        <w:pStyle w:val="P13"/>
        <w:framePr w:w="6658" w:h="480" w:hRule="exact" w:wrap="none" w:vAnchor="page" w:hAnchor="margin" w:x="71" w:y="13617"/>
        <w:rPr>
          <w:rStyle w:val="C11"/>
          <w:rtl w:val="0"/>
        </w:rPr>
      </w:pPr>
      <w:r>
        <w:rPr>
          <w:rStyle w:val="C11"/>
          <w:rtl w:val="0"/>
        </w:rPr>
        <w:t>c) Popsat omezení hospodaření ve zvlášť chráněných územích, chráněných krajinných oblastech, národních parcích a oblastech NATURA 2000</w:t>
      </w:r>
    </w:p>
    <w:p>
      <w:pPr>
        <w:pStyle w:val="P28"/>
        <w:framePr w:w="3921" w:h="607" w:hRule="exact" w:wrap="none" w:vAnchor="page" w:hAnchor="margin" w:x="6800" w:y="13561"/>
        <w:rPr>
          <w:rStyle w:val="C3"/>
          <w:rtl w:val="0"/>
        </w:rPr>
      </w:pPr>
    </w:p>
    <w:p>
      <w:pPr>
        <w:pStyle w:val="P29"/>
        <w:framePr w:w="3839" w:h="480" w:hRule="exact" w:wrap="none" w:vAnchor="page" w:hAnchor="margin" w:x="6856" w:y="13617"/>
        <w:rPr>
          <w:rStyle w:val="C21"/>
          <w:rtl w:val="0"/>
        </w:rPr>
      </w:pPr>
      <w:r>
        <w:rPr>
          <w:rStyle w:val="C21"/>
          <w:rtl w:val="0"/>
        </w:rPr>
        <w:t>Písemné nebo ústní ověření</w:t>
      </w:r>
    </w:p>
    <w:p>
      <w:pPr>
        <w:pStyle w:val="P16"/>
        <w:framePr w:w="6710" w:h="376" w:hRule="exact" w:wrap="none" w:vAnchor="page" w:hAnchor="margin" w:x="45" w:y="14168"/>
        <w:rPr>
          <w:rStyle w:val="C3"/>
          <w:rtl w:val="0"/>
        </w:rPr>
      </w:pPr>
    </w:p>
    <w:p>
      <w:pPr>
        <w:pStyle w:val="P17"/>
        <w:framePr w:w="6658" w:h="249" w:hRule="exact" w:wrap="none" w:vAnchor="page" w:hAnchor="margin" w:x="71" w:y="14224"/>
        <w:rPr>
          <w:rStyle w:val="C13"/>
          <w:rtl w:val="0"/>
        </w:rPr>
      </w:pPr>
      <w:r>
        <w:rPr>
          <w:rStyle w:val="C13"/>
          <w:rtl w:val="0"/>
        </w:rPr>
        <w:t>d) Popsat opatření k zamezení eroze a účinných opatření k jejímu zabránění</w:t>
      </w:r>
    </w:p>
    <w:p>
      <w:pPr>
        <w:pStyle w:val="P30"/>
        <w:framePr w:w="3921" w:h="376" w:hRule="exact" w:wrap="none" w:vAnchor="page" w:hAnchor="margin" w:x="6800" w:y="14168"/>
        <w:rPr>
          <w:rStyle w:val="C3"/>
          <w:rtl w:val="0"/>
        </w:rPr>
      </w:pPr>
    </w:p>
    <w:p>
      <w:pPr>
        <w:pStyle w:val="P31"/>
        <w:framePr w:w="3839" w:h="249" w:hRule="exact" w:wrap="none" w:vAnchor="page" w:hAnchor="margin" w:x="6856" w:y="14224"/>
        <w:rPr>
          <w:rStyle w:val="C22"/>
          <w:rtl w:val="0"/>
        </w:rPr>
      </w:pPr>
      <w:r>
        <w:rPr>
          <w:rStyle w:val="C22"/>
          <w:rtl w:val="0"/>
        </w:rPr>
        <w:t>Písemné nebo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databázemi a informačními systémy v oblasti zemědělství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Charakterizovat význam LPIS (veřejný, neveřejný), popsat základní evidenční jednotku LPIS a rozdíl mezi evidencí půdy LPIS a v katastru nemovitostí, vyhledat zadaný půdní blok/díl půdního bloku v LPIS a veškeré popisné informace k němu, vyhledat daný půdní blok/díl půdního bloku v různých mapových vrstvách LPIS</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nebo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nebo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Zpracování projektu a jeho prezentace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písemné ověření (viz metodická doporučení)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Obhájit řešení navržená v projektu</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Ústní ověření</w:t>
      </w:r>
    </w:p>
    <w:p>
      <w:pPr>
        <w:pStyle w:val="P32"/>
        <w:framePr w:w="10710" w:h="248" w:hRule="exact" w:wrap="none" w:vAnchor="page" w:hAnchor="margin" w:x="28" w:y="8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Doporučujeme, aby měl střední nebo vysokoškolské vzdělání v zemědělském oboru a minimálně 3 roky praxe v zemědělství.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Některá kritéria budou ověřována přímo na zadaném konkrétním pozemku. Pro účely ověřování způsobilostí byly stanoveny tyto skupiny základních plodin: obiloviny, olejniny, okopaniny a pícniny. Uchazeč může během zkoušky používat platný akční program pro nitrátově zranitelné oblasti a veřejně dostupné mapové i popisné informace ohledně ochrany vod a krajiny na internetu.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zadaného autorizovanou osobou v rozsahu 10 až 20 minut. Uchazeč zpracuje projekt před vykonáním zkoušky. Pro zpracování projektu se doporučuje tato struktura: název projektu, základní informace o projektu, cíl projektu, vlastní práce, doporučení pro praxi, závěr.</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oblasti zemědělství a alespoň 5 let provozní praxe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zemědělství a alespoň 5 let praxe ve výzkumném ústavu v oblasti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zemědělství a alespoň 5 let praxe ve funkci vysokoškolského učitele rostlinné výroby a dále alespoň 3 roky praxe v zemědělském poradenství se zaměřením na rostlinnou výrobu,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zemědělství a alespoň 5 let provozní praxe v oblasti rostlinné výroby a dále alespoň 3 roky praxe s akreditací a kontrolou privátních zemědělských poradců MZe, z toho minimálně jeden rok v období posledních dvou let před podáním žádosti o udělení autorizace.</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3" w:hRule="exact" w:wrap="none" w:vAnchor="page" w:hAnchor="margin" w:x="0" w:y="10234"/>
        <w:rPr>
          <w:rStyle w:val="C3"/>
          <w:rtl w:val="0"/>
        </w:rPr>
      </w:pPr>
    </w:p>
    <w:p>
      <w:pPr>
        <w:pStyle w:val="P35"/>
        <w:framePr w:w="10710" w:h="340" w:hRule="exact" w:wrap="none" w:vAnchor="page" w:hAnchor="margin" w:x="28" w:y="1023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 vybavenou počítačem s připojením na internet</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umožňující elektronickou prezentaci projektu</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zaměřenými na pěstování minimálně dvou hlavních druhů zemědělských plodin.</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Zajištění přístupu na „Portál farmáře“ a přístup do programu „LPIS“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 Úžice, a.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zemědělské ekonomiky a informací</w:t>
      </w:r>
    </w:p>
    <w:p>
      <w:pPr>
        <w:pStyle w:val="P21"/>
        <w:framePr w:w="7654" w:h="331" w:hRule="exact" w:wrap="none" w:vAnchor="page" w:hAnchor="margin" w:x="28" w:y="15940"/>
        <w:rPr>
          <w:rStyle w:val="C16"/>
          <w:rtl w:val="0"/>
        </w:rPr>
      </w:pPr>
      <w:r>
        <w:rPr>
          <w:rStyle w:val="C16"/>
          <w:rtl w:val="0"/>
        </w:rPr>
        <w:t>Zemědělský poradce pro rostlinnou výrobu, 7.7.2026 16:00:52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