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27924" Type="http://schemas.openxmlformats.org/officeDocument/2006/relationships/officeDocument" Target="/word/document.xml" /><Relationship Id="coreRFA27924" Type="http://schemas.openxmlformats.org/package/2006/relationships/metadata/core-properties" Target="/docProps/core.xml" /><Relationship Id="customRFA27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musí probíhat v navazujících činnostech vedoucích k ucelenému paznehtářskému úkonu, který zahrnuje požadavky na zlepšení pohybových schopností a celkové welfare skotu.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zvířat na ortopedickou úpravu paznehtů skotu a zhodnotit cyklus ošetření v konkrétním stádě.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plemeno, kategorii a věk zvířat, počet kusů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paznehtů.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nevhodným chováním nevyvolávat stres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korektury paznehtů, zvolit vhodné nářadí a pomůcky.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paznehtů u hrudních a pánevních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platné legislativy.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k léčbě či ošetření veterinárnímu lékaři a provést o tom záznam.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(poradenství v chovu skotu)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Bendák - OSVČ, soukromý zemědělec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Vinčálek, CE-F, OSVČ, podkovář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