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40F7F" Type="http://schemas.openxmlformats.org/officeDocument/2006/relationships/officeDocument" Target="/word/document.xml" /><Relationship Id="coreR17E40F7F" Type="http://schemas.openxmlformats.org/package/2006/relationships/metadata/core-properties" Target="/docProps/core.xml" /><Relationship Id="customR17E40F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práce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a předpěstování zeleninové sadby, květin a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včetně hnojení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a třídění ovoce a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 a třídění květin k 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Dobývání a třídění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26.05.2011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29.10.2026 0:02:11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umožňuje hodnotit pestrou škálu zahradnických činností na základní úrovni v kterékoli zahradnické firmě.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29.10.2026 0:02:11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Krajský úřad Moravskoslezského kraje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Moravoseed Mikulov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zahradnictví SZaŠ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práce v produkčním zahradnictví, 29.10.2026 0:02:11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