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CA4FAB" Type="http://schemas.openxmlformats.org/officeDocument/2006/relationships/officeDocument" Target="/word/document.xml" /><Relationship Id="coreR56CA4FAB" Type="http://schemas.openxmlformats.org/package/2006/relationships/metadata/core-properties" Target="/docProps/core.xml" /><Relationship Id="customR56CA4F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Chov remontních a plemenných ryb, zajištění výtěru ryb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Odchov raných stádií plůdku a chov ryb do prodejní velikosti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kvality chovného prostředí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odchovných zařízení a asanační opatření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potravy a krmení ryb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Třídění, počítání, přeprava a distribuce ryb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26.05.2011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29.10.2026 2:22:20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6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 Rovněž je kladen důraz na bezpečné zacházení s chemikáliemi a léčivy a vyloučení možnosti znečištění recipientů povrchové vody.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29.10.2026 2:22:20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pro zemědělství, v níž byly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 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okrasných a akvarijních ryb, 29.10.2026 2:22:20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