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6532A" Type="http://schemas.openxmlformats.org/officeDocument/2006/relationships/officeDocument" Target="/word/document.xml" /><Relationship Id="coreR4426532A" Type="http://schemas.openxmlformats.org/package/2006/relationships/metadata/core-properties" Target="/docProps/core.xml" /><Relationship Id="customR442653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 opatření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26.05.2011 do: 15.02.2017</w:t>
      </w:r>
    </w:p>
    <w:p>
      <w:pPr>
        <w:pStyle w:val="P21"/>
        <w:framePr w:w="7654" w:h="331" w:hRule="exact" w:wrap="none" w:vAnchor="page" w:hAnchor="margin" w:x="28" w:y="15940"/>
        <w:rPr>
          <w:rStyle w:val="C16"/>
          <w:rtl w:val="0"/>
        </w:rPr>
      </w:pPr>
      <w:r>
        <w:rPr>
          <w:rStyle w:val="C16"/>
          <w:rtl w:val="0"/>
        </w:rPr>
        <w:t>Chovatel okrasných a akvarijních ryb, 30.7.2026 7:27:39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Provést stanovení hlavních fyzikálních a chemických vlastností vody v odchovném zařízení</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Posoudit kvalitu vody z hlediska požadavků pro chov ryb</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údržby odchovných zařízení a asanační opatření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Provést odkalení odchovných nádrží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údržbu (čištění) filtrů</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Provést desinfekci nářadí, žlabů, akvárií</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30.7.2026 7:27:39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ověření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30.7.2026 7:27:39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 Rovněž je kladen důraz na bezpečné zacházení s chemikáliemi a léčivy a vyloučení možnosti znečištění recipientů povrchové vody.</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okrasných a akvarijních ryb, 30.7.2026 7:27:39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rybář a maturitní zkouška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se zaměřením na rybářství a vodní hospodářství nebo v jiném oboru vzdělání s biologickým charakterem a alespoň 5 let praxe v oblasti rybářství nebo ve funkci učitele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rybářství a vodní hospodářství nebo v jiném oboru vzdělání s biologickým charakterem a alespoň 5 let praxe v oblasti rybářství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Chovatel okrasných a akvarijních ryb, střední vzdělání s maturitní zkouškou a alespoň 10 let odborné praxe v chovu okrasných nebo akvarijních ryb, z toho minimálně jeden rok v období posledních dvou let před podáním žádosti o autorizaci.</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184" w:hRule="exact" w:wrap="none" w:vAnchor="page" w:hAnchor="margin" w:x="0" w:y="11390"/>
        <w:rPr>
          <w:rStyle w:val="C3"/>
          <w:rtl w:val="0"/>
        </w:rPr>
      </w:pPr>
    </w:p>
    <w:p>
      <w:pPr>
        <w:pStyle w:val="P35"/>
        <w:framePr w:w="10710" w:h="340" w:hRule="exact" w:wrap="none" w:vAnchor="page" w:hAnchor="margin" w:x="28" w:y="1139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(okrasné nebo akvarijní ryby)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anastetikum, hypofýzy nebo syntetické hormony</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okrasných a akvarijních ryb, 30.7.2026 7:27:39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21"/>
        <w:framePr w:w="7654" w:h="331" w:hRule="exact" w:wrap="none" w:vAnchor="page" w:hAnchor="margin" w:x="28" w:y="15940"/>
        <w:rPr>
          <w:rStyle w:val="C16"/>
          <w:rtl w:val="0"/>
        </w:rPr>
      </w:pPr>
      <w:r>
        <w:rPr>
          <w:rStyle w:val="C16"/>
          <w:rtl w:val="0"/>
        </w:rPr>
        <w:t>Chovatel okrasných a akvarijních ryb, 30.7.2026 7:27:39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29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okrasných a akvarijních ryb, 30.7.2026 7:27:39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