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83F2D2" Type="http://schemas.openxmlformats.org/officeDocument/2006/relationships/officeDocument" Target="/word/document.xml" /><Relationship Id="coreR2383F2D2" Type="http://schemas.openxmlformats.org/package/2006/relationships/metadata/core-properties" Target="/docProps/core.xml" /><Relationship Id="customR2383F2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pracovník/úklidová pracovnice v potravinářských provozech (kód: 69-009-E)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managementu hygieny v potravinářských provozech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druhu úklidu a čištění dle hygienických plánů v systému kritických bodů v potravinářských provozech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pomůckami pro provádění úklidu v potravinářských provozech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dezinfekce v potravinářských provozech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Identifikace základních materiálů podlah, nábytku, zařízení a volba vhodných technologických postupů dle harmonogramů prací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úklidu a údržby „Clean rooms = čistých prostor“ v potravinářských provozech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Provádění úklidu sociálních zařízení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Provádění mopování tvrdých podlahových ploch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strojního mytí, čištění a leštění podlahovým kotoučovým strojem a podlahovým automatem na tvrdých podlahách</w:t>
      </w:r>
    </w:p>
    <w:p>
      <w:pPr>
        <w:pStyle w:val="P14"/>
        <w:framePr w:w="805" w:h="607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Provádění strojního mytí vysokotlakým čističem a parním čističem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údržby nábytku, zařízení a ploch do 1,5 m a nad 1,5 m v potravinářských provozech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Provádění údržby skleněných ploch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Provádění mytí transportních vozíků, nakládacích a vykládacích zařízení v potravinářských provozech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Provádění úklidu a čištění chodeb, schodišť, podest a teras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Provádění úklidu a údržby výtahů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Provádění čištění a údržby elektrozařízení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30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140"/>
        <w:rPr>
          <w:rStyle w:val="C11"/>
          <w:rtl w:val="0"/>
        </w:rPr>
      </w:pPr>
      <w:r>
        <w:rPr>
          <w:rStyle w:val="C11"/>
          <w:rtl w:val="0"/>
        </w:rPr>
        <w:t>Třídění a nakládání s druhotnými odpady</w:t>
      </w:r>
    </w:p>
    <w:p>
      <w:pPr>
        <w:pStyle w:val="P14"/>
        <w:framePr w:w="805" w:h="376" w:hRule="exact" w:wrap="none" w:vAnchor="page" w:hAnchor="margin" w:x="9916" w:y="130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14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46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16"/>
        <w:rPr>
          <w:rStyle w:val="C13"/>
          <w:rtl w:val="0"/>
        </w:rPr>
      </w:pPr>
      <w:r>
        <w:rPr>
          <w:rStyle w:val="C13"/>
          <w:rtl w:val="0"/>
        </w:rPr>
        <w:t>Organizace práce na pracovišti</w:t>
      </w:r>
    </w:p>
    <w:p>
      <w:pPr>
        <w:pStyle w:val="P18"/>
        <w:framePr w:w="805" w:h="376" w:hRule="exact" w:wrap="none" w:vAnchor="page" w:hAnchor="margin" w:x="9916" w:y="1346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1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40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403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v potravinářských provozech, 15.9.2026 17:26:10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6513" w:y="1011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v potravinářských provozech, 15.9.2026 17:26:10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124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9"/>
        <w:framePr w:w="130" w:h="230" w:hRule="exact" w:wrap="none" w:vAnchor="page" w:hAnchor="margin" w:x="1195" w:y="26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556" w:h="230" w:hRule="exact" w:wrap="none" w:vAnchor="page" w:hAnchor="margin" w:x="1368" w:y="2625"/>
        <w:rPr>
          <w:rStyle w:val="C22"/>
          <w:rtl w:val="0"/>
        </w:rPr>
      </w:pPr>
      <w:r>
        <w:rPr>
          <w:rStyle w:val="C22"/>
          <w:rtl w:val="0"/>
        </w:rPr>
        <w:t>potravinářských</w:t>
      </w:r>
    </w:p>
    <w:p>
      <w:pPr>
        <w:pStyle w:val="P29"/>
        <w:framePr w:w="1013" w:h="230" w:hRule="exact" w:wrap="none" w:vAnchor="page" w:hAnchor="margin" w:x="2966" w:y="2625"/>
        <w:rPr>
          <w:rStyle w:val="C22"/>
          <w:rtl w:val="0"/>
        </w:rPr>
      </w:pPr>
      <w:r>
        <w:rPr>
          <w:rStyle w:val="C22"/>
          <w:rtl w:val="0"/>
        </w:rPr>
        <w:t>provozech</w:t>
      </w:r>
    </w:p>
    <w:p>
      <w:pPr>
        <w:pStyle w:val="P27"/>
        <w:framePr w:w="73" w:h="230" w:hRule="exact" w:wrap="none" w:vAnchor="page" w:hAnchor="margin" w:x="396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7"/>
        <w:framePr w:w="1157" w:h="230" w:hRule="exact" w:wrap="none" w:vAnchor="page" w:hAnchor="margin" w:x="1089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3619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588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136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5851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134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6883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7608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409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889" w:y="286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9393" w:y="2860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37" w:h="230" w:hRule="exact" w:wrap="none" w:vAnchor="page" w:hAnchor="margin" w:x="3192" w:y="3330"/>
        <w:rPr>
          <w:rStyle w:val="C22"/>
          <w:rtl w:val="0"/>
        </w:rPr>
      </w:pPr>
      <w:r>
        <w:rPr>
          <w:rStyle w:val="C22"/>
          <w:rtl w:val="0"/>
        </w:rPr>
        <w:t>dezinfekce</w:t>
      </w:r>
    </w:p>
    <w:p>
      <w:pPr>
        <w:pStyle w:val="P29"/>
        <w:framePr w:w="130" w:h="230" w:hRule="exact" w:wrap="none" w:vAnchor="page" w:hAnchor="margin" w:x="4272" w:y="333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556" w:h="230" w:hRule="exact" w:wrap="none" w:vAnchor="page" w:hAnchor="margin" w:x="4444" w:y="3330"/>
        <w:rPr>
          <w:rStyle w:val="C22"/>
          <w:rtl w:val="0"/>
        </w:rPr>
      </w:pPr>
      <w:r>
        <w:rPr>
          <w:rStyle w:val="C22"/>
          <w:rtl w:val="0"/>
        </w:rPr>
        <w:t>potravinářských</w:t>
      </w:r>
    </w:p>
    <w:p>
      <w:pPr>
        <w:pStyle w:val="P29"/>
        <w:framePr w:w="1013" w:h="230" w:hRule="exact" w:wrap="none" w:vAnchor="page" w:hAnchor="margin" w:x="6043" w:y="3330"/>
        <w:rPr>
          <w:rStyle w:val="C22"/>
          <w:rtl w:val="0"/>
        </w:rPr>
      </w:pPr>
      <w:r>
        <w:rPr>
          <w:rStyle w:val="C22"/>
          <w:rtl w:val="0"/>
        </w:rPr>
        <w:t>provozech</w:t>
      </w:r>
    </w:p>
    <w:p>
      <w:pPr>
        <w:pStyle w:val="P27"/>
        <w:framePr w:w="73" w:h="230" w:hRule="exact" w:wrap="none" w:vAnchor="page" w:hAnchor="margin" w:x="7041" w:y="333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56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30" w:h="230" w:hRule="exact" w:wrap="none" w:vAnchor="page" w:hAnchor="margin" w:x="854" w:y="3565"/>
        <w:rPr>
          <w:rStyle w:val="C23"/>
          <w:rtl w:val="0"/>
        </w:rPr>
      </w:pPr>
      <w:r>
        <w:rPr>
          <w:rStyle w:val="C23"/>
          <w:rtl w:val="0"/>
        </w:rPr>
        <w:t>b</w:t>
      </w:r>
    </w:p>
    <w:p>
      <w:pPr>
        <w:pStyle w:val="P27"/>
        <w:framePr w:w="82" w:h="230" w:hRule="exact" w:wrap="none" w:vAnchor="page" w:hAnchor="margin" w:x="969" w:y="3565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1157" w:h="230" w:hRule="exact" w:wrap="none" w:vAnchor="page" w:hAnchor="margin" w:x="1094" w:y="35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94" w:y="35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899" w:y="356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73" w:h="230" w:hRule="exact" w:wrap="none" w:vAnchor="page" w:hAnchor="margin" w:x="3292" w:y="3565"/>
        <w:rPr>
          <w:rStyle w:val="C20"/>
          <w:rtl w:val="0"/>
        </w:rPr>
      </w:pPr>
      <w:r>
        <w:rPr>
          <w:rStyle w:val="C20"/>
          <w:rtl w:val="0"/>
        </w:rPr>
        <w:t>povrch,</w:t>
      </w:r>
    </w:p>
    <w:p>
      <w:pPr>
        <w:pStyle w:val="P27"/>
        <w:framePr w:w="241" w:h="230" w:hRule="exact" w:wrap="none" w:vAnchor="page" w:hAnchor="margin" w:x="4008" w:y="35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91" w:y="356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5040" w:y="356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5764" w:y="3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566" w:y="3565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7046" w:y="356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7550" w:y="3565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0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0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4036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4036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4036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4036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4036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4036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403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4036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4036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4266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4266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4266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4266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4266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42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450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501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4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4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45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3619" w:y="4501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4540" w:y="4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824" w:y="450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5572" w:y="450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273" w:y="4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075" w:y="4501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7555" w:y="450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059" w:y="4501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v potravinářských provozech, 15.9.2026 17:26:10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JASPA, s. r. o., Opava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v potravinářských provozech, 15.9.2026 17:26:10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