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B3A4B4" Type="http://schemas.openxmlformats.org/officeDocument/2006/relationships/officeDocument" Target="/word/document.xml" /><Relationship Id="coreR4BB3A4B4" Type="http://schemas.openxmlformats.org/package/2006/relationships/metadata/core-properties" Target="/docProps/core.xml" /><Relationship Id="customR4BB3A4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Úklidový pracovník v potravinářských provozech (kód: 69-009-E)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Úklidový pracovník v potravinářských provozech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Identifikace managementu hygieny v potravinářských provozech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druhu úklidu a čištění dle hygienických plánů v systému kritických bodů v potravinářských provozech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chemickými a dezinfekčními látkami, přípravky a potřebnými pomůckami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příprava a kompletace, údržba a čištění pomůcek a strojů včetně pomůcek BOZP</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dezinfekce v potravinářských provozech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Identifikace základních materiálů podlah, nábytku, zařízení a volba vhodných technologických postupů dle harmonogramů prací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úklidu a údržby „Clean rooms = čistých prostor“ v potravinářských provozech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2</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úklidu sociálních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Provádění mopování tvrdých podlahových ploch</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2</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Provádění strojního mytí, čištění a leštění podlahovým kotoučovým strojem a podlahovým automatem na tvrdých podlahách</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2</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Provádění strojního mytí vysokotlakým čističem a parním čističem</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2</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Provádění údržby nábytku, zařízení a ploch do 1,5 m a nad 1,5 m v potravinářských provozech</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2</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Provádění údržby skleněných ploch</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2</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mytí transportních vozíků, nakládacích a vykládacích zařízení v potravinářských provozech</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2</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Provádění úklidu a čištění chodeb, schodišť, podest a teras</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2</w:t>
      </w:r>
    </w:p>
    <w:p>
      <w:pPr>
        <w:pStyle w:val="P16"/>
        <w:framePr w:w="9826" w:h="376" w:hRule="exact" w:wrap="none" w:vAnchor="page" w:hAnchor="margin" w:x="45" w:y="11724"/>
        <w:rPr>
          <w:rStyle w:val="C3"/>
          <w:rtl w:val="0"/>
        </w:rPr>
      </w:pPr>
    </w:p>
    <w:p>
      <w:pPr>
        <w:pStyle w:val="P17"/>
        <w:framePr w:w="9774" w:h="249" w:hRule="exact" w:wrap="none" w:vAnchor="page" w:hAnchor="margin" w:x="71" w:y="11780"/>
        <w:rPr>
          <w:rStyle w:val="C13"/>
          <w:rtl w:val="0"/>
        </w:rPr>
      </w:pPr>
      <w:r>
        <w:rPr>
          <w:rStyle w:val="C13"/>
          <w:rtl w:val="0"/>
        </w:rPr>
        <w:t>Provádění úklidu a údržby výtahů</w:t>
      </w:r>
    </w:p>
    <w:p>
      <w:pPr>
        <w:pStyle w:val="P18"/>
        <w:framePr w:w="805" w:h="376" w:hRule="exact" w:wrap="none" w:vAnchor="page" w:hAnchor="margin" w:x="9916" w:y="11724"/>
        <w:rPr>
          <w:rStyle w:val="C3"/>
          <w:rtl w:val="0"/>
        </w:rPr>
      </w:pPr>
    </w:p>
    <w:p>
      <w:pPr>
        <w:pStyle w:val="P19"/>
        <w:framePr w:w="723" w:h="249" w:hRule="exact" w:wrap="none" w:vAnchor="page" w:hAnchor="margin" w:x="9972" w:y="11780"/>
        <w:rPr>
          <w:rStyle w:val="C14"/>
          <w:rtl w:val="0"/>
        </w:rPr>
      </w:pPr>
      <w:r>
        <w:rPr>
          <w:rStyle w:val="C14"/>
          <w:rtl w:val="0"/>
        </w:rPr>
        <w:t>2</w:t>
      </w:r>
    </w:p>
    <w:p>
      <w:pPr>
        <w:pStyle w:val="P12"/>
        <w:framePr w:w="9826" w:h="376" w:hRule="exact" w:wrap="none" w:vAnchor="page" w:hAnchor="margin" w:x="45" w:y="12101"/>
        <w:rPr>
          <w:rStyle w:val="C3"/>
          <w:rtl w:val="0"/>
        </w:rPr>
      </w:pPr>
    </w:p>
    <w:p>
      <w:pPr>
        <w:pStyle w:val="P13"/>
        <w:framePr w:w="9774" w:h="249" w:hRule="exact" w:wrap="none" w:vAnchor="page" w:hAnchor="margin" w:x="71" w:y="12157"/>
        <w:rPr>
          <w:rStyle w:val="C11"/>
          <w:rtl w:val="0"/>
        </w:rPr>
      </w:pPr>
      <w:r>
        <w:rPr>
          <w:rStyle w:val="C11"/>
          <w:rtl w:val="0"/>
        </w:rPr>
        <w:t>Provádění čištění a údržby elektrozařízení</w:t>
      </w:r>
    </w:p>
    <w:p>
      <w:pPr>
        <w:pStyle w:val="P14"/>
        <w:framePr w:w="805" w:h="376" w:hRule="exact" w:wrap="none" w:vAnchor="page" w:hAnchor="margin" w:x="9916" w:y="12101"/>
        <w:rPr>
          <w:rStyle w:val="C3"/>
          <w:rtl w:val="0"/>
        </w:rPr>
      </w:pPr>
    </w:p>
    <w:p>
      <w:pPr>
        <w:pStyle w:val="P15"/>
        <w:framePr w:w="723" w:h="249" w:hRule="exact" w:wrap="none" w:vAnchor="page" w:hAnchor="margin" w:x="9972" w:y="12157"/>
        <w:rPr>
          <w:rStyle w:val="C12"/>
          <w:rtl w:val="0"/>
        </w:rPr>
      </w:pPr>
      <w:r>
        <w:rPr>
          <w:rStyle w:val="C12"/>
          <w:rtl w:val="0"/>
        </w:rPr>
        <w:t>2</w:t>
      </w:r>
    </w:p>
    <w:p>
      <w:pPr>
        <w:pStyle w:val="P16"/>
        <w:framePr w:w="9826" w:h="376" w:hRule="exact" w:wrap="none" w:vAnchor="page" w:hAnchor="margin" w:x="45" w:y="12477"/>
        <w:rPr>
          <w:rStyle w:val="C3"/>
          <w:rtl w:val="0"/>
        </w:rPr>
      </w:pPr>
    </w:p>
    <w:p>
      <w:pPr>
        <w:pStyle w:val="P17"/>
        <w:framePr w:w="9774" w:h="249" w:hRule="exact" w:wrap="none" w:vAnchor="page" w:hAnchor="margin" w:x="71" w:y="12533"/>
        <w:rPr>
          <w:rStyle w:val="C13"/>
          <w:rtl w:val="0"/>
        </w:rPr>
      </w:pPr>
      <w:r>
        <w:rPr>
          <w:rStyle w:val="C13"/>
          <w:rtl w:val="0"/>
        </w:rPr>
        <w:t>Třídění a nakládání s druhotnými odpady</w:t>
      </w:r>
    </w:p>
    <w:p>
      <w:pPr>
        <w:pStyle w:val="P18"/>
        <w:framePr w:w="805" w:h="376" w:hRule="exact" w:wrap="none" w:vAnchor="page" w:hAnchor="margin" w:x="9916" w:y="12477"/>
        <w:rPr>
          <w:rStyle w:val="C3"/>
          <w:rtl w:val="0"/>
        </w:rPr>
      </w:pPr>
    </w:p>
    <w:p>
      <w:pPr>
        <w:pStyle w:val="P19"/>
        <w:framePr w:w="723" w:h="249" w:hRule="exact" w:wrap="none" w:vAnchor="page" w:hAnchor="margin" w:x="9972" w:y="12533"/>
        <w:rPr>
          <w:rStyle w:val="C14"/>
          <w:rtl w:val="0"/>
        </w:rPr>
      </w:pPr>
      <w:r>
        <w:rPr>
          <w:rStyle w:val="C14"/>
          <w:rtl w:val="0"/>
        </w:rPr>
        <w:t>2</w:t>
      </w:r>
    </w:p>
    <w:p>
      <w:pPr>
        <w:pStyle w:val="P12"/>
        <w:framePr w:w="9826" w:h="376" w:hRule="exact" w:wrap="none" w:vAnchor="page" w:hAnchor="margin" w:x="45" w:y="12853"/>
        <w:rPr>
          <w:rStyle w:val="C3"/>
          <w:rtl w:val="0"/>
        </w:rPr>
      </w:pPr>
    </w:p>
    <w:p>
      <w:pPr>
        <w:pStyle w:val="P13"/>
        <w:framePr w:w="9774" w:h="249" w:hRule="exact" w:wrap="none" w:vAnchor="page" w:hAnchor="margin" w:x="71" w:y="12909"/>
        <w:rPr>
          <w:rStyle w:val="C11"/>
          <w:rtl w:val="0"/>
        </w:rPr>
      </w:pPr>
      <w:r>
        <w:rPr>
          <w:rStyle w:val="C11"/>
          <w:rtl w:val="0"/>
        </w:rPr>
        <w:t>Uplatňování a dodržování zásad bezpečnosti práce, ochrany zdraví při práci a požární ochrany</w:t>
      </w:r>
    </w:p>
    <w:p>
      <w:pPr>
        <w:pStyle w:val="P14"/>
        <w:framePr w:w="805" w:h="376" w:hRule="exact" w:wrap="none" w:vAnchor="page" w:hAnchor="margin" w:x="9916" w:y="12853"/>
        <w:rPr>
          <w:rStyle w:val="C3"/>
          <w:rtl w:val="0"/>
        </w:rPr>
      </w:pPr>
    </w:p>
    <w:p>
      <w:pPr>
        <w:pStyle w:val="P15"/>
        <w:framePr w:w="723" w:h="249" w:hRule="exact" w:wrap="none" w:vAnchor="page" w:hAnchor="margin" w:x="9972" w:y="12909"/>
        <w:rPr>
          <w:rStyle w:val="C12"/>
          <w:rtl w:val="0"/>
        </w:rPr>
      </w:pPr>
      <w:r>
        <w:rPr>
          <w:rStyle w:val="C12"/>
          <w:rtl w:val="0"/>
        </w:rPr>
        <w:t>2</w:t>
      </w:r>
    </w:p>
    <w:p>
      <w:pPr>
        <w:pStyle w:val="P16"/>
        <w:framePr w:w="9826" w:h="376" w:hRule="exact" w:wrap="none" w:vAnchor="page" w:hAnchor="margin" w:x="45" w:y="13229"/>
        <w:rPr>
          <w:rStyle w:val="C3"/>
          <w:rtl w:val="0"/>
        </w:rPr>
      </w:pPr>
    </w:p>
    <w:p>
      <w:pPr>
        <w:pStyle w:val="P17"/>
        <w:framePr w:w="9774" w:h="249" w:hRule="exact" w:wrap="none" w:vAnchor="page" w:hAnchor="margin" w:x="71" w:y="13285"/>
        <w:rPr>
          <w:rStyle w:val="C13"/>
          <w:rtl w:val="0"/>
        </w:rPr>
      </w:pPr>
      <w:r>
        <w:rPr>
          <w:rStyle w:val="C13"/>
          <w:rtl w:val="0"/>
        </w:rPr>
        <w:t>Organizace práce na pracovišti</w:t>
      </w:r>
    </w:p>
    <w:p>
      <w:pPr>
        <w:pStyle w:val="P18"/>
        <w:framePr w:w="805" w:h="376" w:hRule="exact" w:wrap="none" w:vAnchor="page" w:hAnchor="margin" w:x="9916" w:y="13229"/>
        <w:rPr>
          <w:rStyle w:val="C3"/>
          <w:rtl w:val="0"/>
        </w:rPr>
      </w:pPr>
    </w:p>
    <w:p>
      <w:pPr>
        <w:pStyle w:val="P19"/>
        <w:framePr w:w="723" w:h="249" w:hRule="exact" w:wrap="none" w:vAnchor="page" w:hAnchor="margin" w:x="9972" w:y="13285"/>
        <w:rPr>
          <w:rStyle w:val="C14"/>
          <w:rtl w:val="0"/>
        </w:rPr>
      </w:pPr>
      <w:r>
        <w:rPr>
          <w:rStyle w:val="C14"/>
          <w:rtl w:val="0"/>
        </w:rPr>
        <w:t>3</w:t>
      </w:r>
    </w:p>
    <w:p>
      <w:pPr>
        <w:pStyle w:val="P7"/>
        <w:framePr w:w="8788" w:h="340" w:hRule="exact" w:wrap="none" w:vAnchor="page" w:hAnchor="margin" w:x="28" w:y="13832"/>
        <w:rPr>
          <w:rStyle w:val="C8"/>
          <w:rtl w:val="0"/>
        </w:rPr>
      </w:pPr>
      <w:r>
        <w:rPr>
          <w:rStyle w:val="C8"/>
          <w:rtl w:val="0"/>
        </w:rPr>
        <w:t>Platnost standardu</w:t>
      </w:r>
    </w:p>
    <w:p>
      <w:pPr>
        <w:pStyle w:val="P20"/>
        <w:framePr w:w="4283" w:h="248" w:hRule="exact" w:wrap="none" w:vAnchor="page" w:hAnchor="margin" w:x="28" w:y="14172"/>
        <w:rPr>
          <w:rStyle w:val="C15"/>
          <w:rtl w:val="0"/>
        </w:rPr>
      </w:pPr>
      <w:r>
        <w:rPr>
          <w:rStyle w:val="C15"/>
          <w:rtl w:val="0"/>
        </w:rPr>
        <w:t>Standard je platný od: 07.05.2014 do: 18.10.2021</w:t>
      </w:r>
    </w:p>
    <w:p>
      <w:pPr>
        <w:pStyle w:val="P21"/>
        <w:framePr w:w="7654" w:h="331" w:hRule="exact" w:wrap="none" w:vAnchor="page" w:hAnchor="margin" w:x="28" w:y="15940"/>
        <w:rPr>
          <w:rStyle w:val="C16"/>
          <w:rtl w:val="0"/>
        </w:rPr>
      </w:pPr>
      <w:r>
        <w:rPr>
          <w:rStyle w:val="C16"/>
          <w:rtl w:val="0"/>
        </w:rPr>
        <w:t>Úklidový pracovník v potravinářských provozech, 30.10.2026 18:25:48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26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a informuje uchazeče o vhodném pracovním oděvu a obuvi.</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http://katalog.nsp.cz/karta_p.aspx?id_jp=101063&amp;kod_sm1=20)</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Autorizovaná osoba rozpracuje kritéria podrobně podle charakteru konkrétních zadaných úkolů, podle typů povrchů, zařizovacích předmětů, nábytku atd. Uchazeči budou zadány činnosti, které jsou obsahem této profesní kvalifikace, jejichž splnění realizuje. Konkrétní úkoly a jejich rozsah určí autorizovaná osoba.</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1"/>
        <w:framePr w:w="10766" w:h="458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1"/>
        <w:framePr w:w="10766" w:h="458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strojů, chemických prostředků a úklidových pomůcek</w:t>
      </w:r>
    </w:p>
    <w:p>
      <w:pPr>
        <w:keepNext w:val="0"/>
        <w:keepLines w:val="1"/>
        <w:framePr w:w="10766" w:h="458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provedení úklidu a čištění, estetický vzhled uklízených a čištěných ploch podle zadání.</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provedené práce i k časovému hledisku zvládání operací.</w:t>
      </w:r>
    </w:p>
    <w:p>
      <w:pPr>
        <w:pStyle w:val="P21"/>
        <w:framePr w:w="7654" w:h="331" w:hRule="exact" w:wrap="none" w:vAnchor="page" w:hAnchor="margin" w:x="28" w:y="15940"/>
        <w:rPr>
          <w:rStyle w:val="C16"/>
          <w:rtl w:val="0"/>
        </w:rPr>
      </w:pPr>
      <w:r>
        <w:rPr>
          <w:rStyle w:val="C16"/>
          <w:rtl w:val="0"/>
        </w:rPr>
        <w:t>Úklidový pracovník v potravinářských provozech, 30.10.2026 18:25:48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ostatní služby ustavená a licencovaná pro tuto činnost HK ČR a SP ČR.</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úklidu a čištění</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Domestika, s. r. o.</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podnikatelský stav</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OHK Klatovy, Petr Havrda Consulting</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prodejců a opravářů motorových vozidel ČR</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CLARIMA, s. r. o.</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JASPA, s. r. o.</w:t>
      </w:r>
    </w:p>
    <w:p>
      <w:pPr>
        <w:keepNext w:val="0"/>
        <w:keepLines w:val="0"/>
        <w:framePr w:w="10766" w:h="3053"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Úklidový pracovník v potravinářských provozech, 30.10.2026 18:25:48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B1773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