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93E001" Type="http://schemas.openxmlformats.org/officeDocument/2006/relationships/officeDocument" Target="/word/document.xml" /><Relationship Id="coreR2593E001" Type="http://schemas.openxmlformats.org/package/2006/relationships/metadata/core-properties" Target="/docProps/core.xml" /><Relationship Id="customR2593E0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Fotoreportér/fotoreportérka (kód: 34-024-H)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fotografických přístrojů a videokamer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objektivu a dalšího příslušenství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při fotografování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při styku s klienty a zákazníky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17.05.2024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Fotoreportér/fotoreportérka, 19.9.2026 22:06:43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mimo jiné doporučuje např.: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zjistit předchozí aktivity, související s povoláním fotograf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ověřit, jakým způsobem manipuluje s negativy, případně s jinými záznamovými médii (CD, paměťová karta, přenosné flashdisky atd.)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ověřit, jak manipuluje s nebezpečným chemickým nebo běžným odpadem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Fotoreportér/fotoreportérka, 19.9.2026 22:06:43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služeb, v níž byly zastoupeny: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podnikatelský stav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osob a majetku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technických bezpečnostních služeb GRÉMIUM ALARM, o. s.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českých a moravských výrobních družstev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účetních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 ČR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Fotoreportér/fotoreportérka, 19.9.2026 22:06:43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