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27E43" Type="http://schemas.openxmlformats.org/officeDocument/2006/relationships/officeDocument" Target="/word/document.xml" /><Relationship Id="coreR44127E43" Type="http://schemas.openxmlformats.org/package/2006/relationships/metadata/core-properties" Target="/docProps/core.xml" /><Relationship Id="customR44127E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Fotoreportér/fotoreportérka (kód: 34-024-H)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objektivu a dalšího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při fotografování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20:21:03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mimo jiné doporučuje např.: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předchozí aktivity, související s povoláním fotograf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jakým způsobem manipuluje s negativy, případně s jinými záznamovými médii (CD, paměťová karta, přenosné flashdisky atd.)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 manipuluje s nebezpečným chemickým nebo běžným odpadem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20:21:03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služeb,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20:21:03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