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1AA70B" Type="http://schemas.openxmlformats.org/officeDocument/2006/relationships/officeDocument" Target="/word/document.xml" /><Relationship Id="coreR401AA70B" Type="http://schemas.openxmlformats.org/package/2006/relationships/metadata/core-properties" Target="/docProps/core.xml" /><Relationship Id="customR401AA7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1.11.2026 2:46:31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http://katalog.nsp.cz/karta_p.aspx?id_jp=40&amp;kod_sm1=30).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gumárenské výroby obuvi.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obuvi (pryžová, gumotextilní) a obuvnického polotovaru (podešve, podpatky), ke kterému se budou vztahovat zadané úkoly podle zaměření konkrétní gumárenské výroby a místa konání zkoušky.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gumárenských strojů,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 technologické zařízení podle zaměření konkrétní gumárenské výroby, místa konání zkoušky a technických možností strojního vybavení daného provozu.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Aby se zamezilo finančním ztrátám, je žádoucí, aby uchazeč v odborných kompetencích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linek pro výrobu pryžové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gumárenských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Lisování pryžové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Vulkanizace pryžových komponentů a obuvi ve vulkanizačním kotli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vykonával prakticky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 a ostatní operace popíše nebo vysvětlí zkoušejícímu. Vybrané úkony operací může vykonávat paralelně nebo ve spolupráci s řádnou obsluhou strojů a zařízení. Zkouška bude probíhat za běžného provozu při výrobě pryžové obuvi, při kterém s ohledem na charakter výroby jde o velké finanční hodnoty zpracovávaných materiálů, strojů, linek a kvalitu vyrobeného produktu.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1.11.2026 2:46:31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1.11.2026 2:46:31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