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D9B06F" Type="http://schemas.openxmlformats.org/officeDocument/2006/relationships/officeDocument" Target="/word/document.xml" /><Relationship Id="coreR3CD9B06F" Type="http://schemas.openxmlformats.org/package/2006/relationships/metadata/core-properties" Target="/docProps/core.xml" /><Relationship Id="customR3CD9B0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 pro zakázkovou výrobu (kód: 32-007-H)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obuvi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Jednání se zákazníkem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v obuvnictví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materiálů, strojů, zařízení, nástrojů a technologických podmínek pro výrobu obuvi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seřizování, ošetřování a údržba obuvnických 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obuvnických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Vytvoření modelů, střihů a šablon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kvality obuvnických polotovarů, materiálů a obuvi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svrškových a spodkových dílců obuvi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Zhotovení svršku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Napínání svršku na kopyta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Ruční nebo strojní spojování svrškových a spodkových dílců obuvi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Úprava vzhledu obuvi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31.08.2010 do: 09.10.2016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zakázkovou výrobu, 11.9.2026 19:17:16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http://katalog.nsp.cz/karta_tp.aspx?id_jp=2455&amp;kod_sm1=30).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v určitém úseku obuvnické výroby. Kritéria hodnocení jsou komplexnějšího charakteru, zkoušející se může zaměřit na určitý stěžejní úkon, který je nosný pro ověřovanou kompetenci.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zakázkovou výrobu, 11.9.2026 19:17:16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Expertním týmem kožedělného průmyslu, v němž byly zastoupeny: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Baťa, a. s.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Krol, Olga Králíková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Snaha v. d. Jihlava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 pro zakázkovou výrobu, 11.9.2026 19:17:16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