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B7B02" Type="http://schemas.openxmlformats.org/officeDocument/2006/relationships/officeDocument" Target="/word/document.xml" /><Relationship Id="coreR583B7B02" Type="http://schemas.openxmlformats.org/package/2006/relationships/metadata/core-properties" Target="/docProps/core.xml" /><Relationship Id="customR583B7B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27.10.2026 2:46:29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http://katalog.nsp.cz/karta_tp.aspx?id_jp=101873&amp;kod_sm1=30).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obuvnické výroby. Ověřování kompetencí bude probíhat v reálném procesu zakázkové výroby dámské, pánské nebo dětské obuvi. Výrobní způsob, střih, materiály (vrchové, podšívkové, spodkové polotovary, komponenty) obuvi i množství určí autorizovaná osoba podle zaměření konkrétní obuvnické výroby a místa konání zkoušky.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svrškových a spodkových dílců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nebo strojní spojování svrškových a spodkových dílců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vzhledu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se zákazníkem při výrobě zakázkové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modelovou situaci z výrobního procesu zakázkové výroby dámské, pánské nebo dětské obuvi v návaznosti na ověřování kompetence.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27.10.2026 2:46:29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27.10.2026 2:46:29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