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A87AD1" Type="http://schemas.openxmlformats.org/officeDocument/2006/relationships/officeDocument" Target="/word/document.xml" /><Relationship Id="coreR67A87AD1" Type="http://schemas.openxmlformats.org/package/2006/relationships/metadata/core-properties" Target="/docProps/core.xml" /><Relationship Id="customR67A87A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28.10.2026 23:12:10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http://katalog.nsp.cz/karta_tp.aspx?id_jp=2259&amp;kod_sm1=30).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kožedělné výroby. Autorizovaná osoba určí druh vzorku a jeho parametry, ke kterému se budou vztahovat zadané úkoly, a to podle zaměření konkrétní kožedělné výroby a místa konání zkoušky. U odborné kompetence Posuzování kvality usní, základních a pomocných materiálů, kritérium a), b); Výroba dílců rukavic, kritérium a), autorizovaná osoba zadá pro ověření kritérií počet vzorků (v minimálním počtu 2 - maximálně 5 vzorků od každého materiálu), a to podle zaměření konkrétní kožedělné výroby (rukavičkářská výroba) a místa konání zkoušky. 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se přihlíží především k bezpečnému provádění všech úkonů a ke kvalitě zhotoveného produktu, k používaným pracovním postupům, k dodržování časového limitu a k samostatnosti při řešení jednotlivých kritérií. Při ústním ověřování je třeba sledovat používání odborné terminologie a využívání teoretických znalostí.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kompetencí, kde je způsob ověření praktické předvedení, bude probíhat v reálném procesu rukavičkářské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28.10.2026 23:12:10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28.10.2026 23:12:10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