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DA6EE" Type="http://schemas.openxmlformats.org/officeDocument/2006/relationships/officeDocument" Target="/word/document.xml" /><Relationship Id="coreR707DA6EE" Type="http://schemas.openxmlformats.org/package/2006/relationships/metadata/core-properties" Target="/docProps/core.xml" /><Relationship Id="customR707DA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výrobku a jeho parametry, ke kterému se budou vztahovat zadané úkoly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(sedlářská výroba) a místa konání zkoušky.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přihlíží především k bezpečnému provádění všech úkonů, ke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 bude probíhat v reálném prostředí sedlářské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