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5AE96B" Type="http://schemas.openxmlformats.org/officeDocument/2006/relationships/officeDocument" Target="/word/document.xml" /><Relationship Id="coreR555AE96B" Type="http://schemas.openxmlformats.org/package/2006/relationships/metadata/core-properties" Target="/docProps/core.xml" /><Relationship Id="customR555AE9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perníků (kód: 29-043-H)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těst dle receptur pro výrobu perníků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perníků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náplní a polev pro pekařské výrobky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Uchovávání, balení a expedice perníků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strojů a zařízení pro pekařskou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surovin, polotovarů a hotových pekařských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Prodej perníků a výrobků z perníkového těsta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evidence při výrobě a prodeji pekařských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perníků, 11.9.2026 20:29:58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http://katalog.nsp.cz/karta_p.aspx?id_jp=100229).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perníků s využitím technologických postupů, estetických pravidel a hygienických zásad výroby bezpečných potravin.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perníků, v minimálním počtu 15 ks.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zkoušející sleduje dodržování hygienických zásad při výrobě potravin a dodržování technologického postupu, aby byla zajištěna kvalita potravin z hlediska výživy.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zkoušející posuzuje hospodárné využívání surovin, dodržování ekologických principů při výrobě, dodržování zásad bezpečnosti práce, dodržování časového harmonogramu a organizaci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perníků, 11.9.2026 20:29:58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perníků, 11.9.2026 20:29:58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