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160ECB" Type="http://schemas.openxmlformats.org/officeDocument/2006/relationships/officeDocument" Target="/word/document.xml" /><Relationship Id="coreR41160ECB" Type="http://schemas.openxmlformats.org/package/2006/relationships/metadata/core-properties" Target="/docProps/core.xml" /><Relationship Id="customR41160E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perníků (kód: 29-043-H)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těst dle receptur pro výrobu perníků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perníků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náplní a polev pro pekařské výrobky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Uchovávání, balení a expedice perníků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strojů a zařízení pro pekařskou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surovin, polotovarů a hotových pekařských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Prodej perníků a výrobků z perníkového těsta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evidence při výrobě a prodeji pekařských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06.03.2013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perníků, 11.9.2026 19:53:34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http://katalog.nsp.cz/karta_p.aspx?id_jp=100229&amp;kod_sm1=28).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výrobě perníků s využitím technologických postupů, estetických pravidel a hygienických zásad výroby bezpečných potravin.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různých druhů perníků, množství určí zkoušející.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hygienických zásad při výrobě potravin a dodržování technologického postupu, aby byla zajištěna kvalita potravin z hlediska výživy. Dále zkoušející posuzuje hospodárné využívání surovin, dodržování ekologických principů při výrobě, dodržování zásad bezpečnosti práce, dodržování časového harmonogramu a organizaci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perníků, 11.9.2026 19:53:34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ADÉLKA,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potravinářství a služeb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perníků, 11.9.2026 19:53:34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