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BB8FB" Type="http://schemas.openxmlformats.org/officeDocument/2006/relationships/officeDocument" Target="/word/document.xml" /><Relationship Id="coreRADBB8FB" Type="http://schemas.openxmlformats.org/package/2006/relationships/metadata/core-properties" Target="/docProps/core.xml" /><Relationship Id="customRADBB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13.6.2026 11:20:57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