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9C025" Type="http://schemas.openxmlformats.org/officeDocument/2006/relationships/officeDocument" Target="/word/document.xml" /><Relationship Id="coreR44B9C025" Type="http://schemas.openxmlformats.org/package/2006/relationships/metadata/core-properties" Target="/docProps/core.xml" /><Relationship Id="customR44B9C0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surovin při výrobě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keramických hmot, glazur a engob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surovin pro výrobu keramických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strojního zařízení pro přípravu výrobních keramických hmot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Příprava keramických hmot, 30.7.2026 5:49:42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surovin při výrobě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vlastnosti surovin a pomocných materiálů používaných při výrobě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kvalitu surovin, kontrolovat vlhkost keramické hmoty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keramických hmot, glazur a engob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Orientace v normách a technologii výroby glazur a engob</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základní výpočet navážky keramické hmoty, glazury a engoby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provedení se slovním vyjádřením s využitím PC programu</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Připravit a navážit materiál pro přípravu keramické hmoty, glazur a engob podle technologických podmínek</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provedení se slovním vyjádřením</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Odebrat vzorky pro průběžnou kontrolu zpracovávaných surovin a hmoty, zdůvodnit odstranění nežádoucích příměsí z keramických surovin před dalším zpracováním, zdůvodnit nutnost odležení surovin po homogenizaci</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provedení se slovním vyjádřením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Skladování surovin pro výrobu keramických hmot</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Uvést hlavní zásady a ustanovení o bezpečnosti při manipulaci a skladování keramických surovin, glazur a engob</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Slovní vyjádření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Přejímat a dopravovat keramické suroviny, vhodně je uskladňovat a evidovat</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provedení se slovním vyjádřením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Provádět vizuální kontrolu a vést evidenci připravených keramických hmot a surovin</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provedení se slovním vyjádřením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340" w:hRule="exact" w:wrap="none" w:vAnchor="page" w:hAnchor="margin" w:x="28" w:y="12030"/>
        <w:rPr>
          <w:rStyle w:val="C18"/>
          <w:rtl w:val="0"/>
        </w:rPr>
      </w:pPr>
      <w:r>
        <w:rPr>
          <w:rStyle w:val="C18"/>
          <w:rtl w:val="0"/>
        </w:rPr>
        <w:t>Obsluha strojního zařízení pro přípravu výrobních keramických hmot</w:t>
      </w:r>
    </w:p>
    <w:p>
      <w:pPr>
        <w:pStyle w:val="P24"/>
        <w:framePr w:w="6713" w:h="376" w:hRule="exact" w:wrap="none" w:vAnchor="page" w:hAnchor="margin" w:x="45" w:y="12469"/>
        <w:rPr>
          <w:rStyle w:val="C3"/>
          <w:rtl w:val="0"/>
        </w:rPr>
      </w:pPr>
    </w:p>
    <w:p>
      <w:pPr>
        <w:pStyle w:val="P25"/>
        <w:framePr w:w="6661" w:h="249" w:hRule="exact" w:wrap="none" w:vAnchor="page" w:hAnchor="margin" w:x="71" w:y="12540"/>
        <w:rPr>
          <w:rStyle w:val="C19"/>
          <w:rtl w:val="0"/>
        </w:rPr>
      </w:pPr>
      <w:r>
        <w:rPr>
          <w:rStyle w:val="C19"/>
          <w:rtl w:val="0"/>
        </w:rPr>
        <w:t>Kritéria hodnocení</w:t>
      </w:r>
    </w:p>
    <w:p>
      <w:pPr>
        <w:pStyle w:val="P26"/>
        <w:framePr w:w="3918" w:h="376" w:hRule="exact" w:wrap="none" w:vAnchor="page" w:hAnchor="margin" w:x="6803" w:y="12469"/>
        <w:rPr>
          <w:rStyle w:val="C3"/>
          <w:rtl w:val="0"/>
        </w:rPr>
      </w:pPr>
    </w:p>
    <w:p>
      <w:pPr>
        <w:pStyle w:val="P27"/>
        <w:framePr w:w="3836" w:h="249" w:hRule="exact" w:wrap="none" w:vAnchor="page" w:hAnchor="margin" w:x="6859" w:y="12540"/>
        <w:rPr>
          <w:rStyle w:val="C20"/>
          <w:rtl w:val="0"/>
        </w:rPr>
      </w:pPr>
      <w:r>
        <w:rPr>
          <w:rStyle w:val="C20"/>
          <w:rtl w:val="0"/>
        </w:rPr>
        <w:t>Způsoby ověření</w:t>
      </w:r>
    </w:p>
    <w:p>
      <w:pPr>
        <w:pStyle w:val="P12"/>
        <w:framePr w:w="6710" w:h="831" w:hRule="exact" w:wrap="none" w:vAnchor="page" w:hAnchor="margin" w:x="45" w:y="12846"/>
        <w:rPr>
          <w:rStyle w:val="C3"/>
          <w:rtl w:val="0"/>
        </w:rPr>
      </w:pPr>
    </w:p>
    <w:p>
      <w:pPr>
        <w:pStyle w:val="P13"/>
        <w:framePr w:w="6658" w:h="704" w:hRule="exact" w:wrap="none" w:vAnchor="page" w:hAnchor="margin" w:x="71" w:y="12902"/>
        <w:rPr>
          <w:rStyle w:val="C11"/>
          <w:rtl w:val="0"/>
        </w:rPr>
      </w:pPr>
      <w:r>
        <w:rPr>
          <w:rStyle w:val="C11"/>
          <w:rtl w:val="0"/>
        </w:rPr>
        <w:t>a) Obsluhovat stroje pro výrobu keramické hmoty, např. mlecí bubny, rozplavovače, míchače, síta, čerpadla, kalolis, vakuolis, rozprachovou sušárnu</w:t>
      </w:r>
    </w:p>
    <w:p>
      <w:pPr>
        <w:pStyle w:val="P28"/>
        <w:framePr w:w="3921" w:h="831" w:hRule="exact" w:wrap="none" w:vAnchor="page" w:hAnchor="margin" w:x="6800" w:y="12846"/>
        <w:rPr>
          <w:rStyle w:val="C3"/>
          <w:rtl w:val="0"/>
        </w:rPr>
      </w:pPr>
    </w:p>
    <w:p>
      <w:pPr>
        <w:pStyle w:val="P29"/>
        <w:framePr w:w="3839" w:h="704" w:hRule="exact" w:wrap="none" w:vAnchor="page" w:hAnchor="margin" w:x="6856" w:y="12902"/>
        <w:rPr>
          <w:rStyle w:val="C21"/>
          <w:rtl w:val="0"/>
        </w:rPr>
      </w:pPr>
      <w:r>
        <w:rPr>
          <w:rStyle w:val="C21"/>
          <w:rtl w:val="0"/>
        </w:rPr>
        <w:t>Praktické provedení se slovním vyjádřením</w:t>
      </w:r>
    </w:p>
    <w:p>
      <w:pPr>
        <w:pStyle w:val="P32"/>
        <w:framePr w:w="10710" w:h="248" w:hRule="exact" w:wrap="none" w:vAnchor="page" w:hAnchor="margin" w:x="28" w:y="13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Příprava keramických hmot, 30.7.2026 5:49:42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http://katalog.nsp.cz/karta_tp.aspx?id_jp=101231&amp;kod_sm1=35).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keramických hmot, 30.7.2026 5:49:42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pomůcky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Příprava keramických hmot, 30.7.2026 5:49:42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5,5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keramických hmot, 30.7.2026 5:49:42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Příprava keramických hmot, 30.7.2026 5:49:42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