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5E62" Type="http://schemas.openxmlformats.org/officeDocument/2006/relationships/officeDocument" Target="/word/document.xml" /><Relationship Id="coreR365E62" Type="http://schemas.openxmlformats.org/package/2006/relationships/metadata/core-properties" Target="/docProps/core.xml" /><Relationship Id="customR365E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Obráběč/obráběčka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obrábění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obráběním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výrobků a manipulování s výrobky při obrábění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29.10.2026 2:22:45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https://www.nsp.cz/jednotka-prace/obrabec-keramiky#zdravotni-zpusobilost).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 určitém úseku keramické výroby.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budou vztaženy zadané úkoly a jeho parametry, podle zaměření konkrétní keramické výroby a místa konání zkoušky.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Množství výrobků určí zkoušející podle obtížnosti zadané techniky a druhu výrobku.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Opracovávání výrobků a manipulování s výrobky při obrábění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d), e)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Posuzování kvality keramických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jedná o ověření znalostí vad keramiky způsobených nedodržením technologického postupu.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i manuální zručnost uchazeče a kvalita provedení.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29.10.2026 2:22:45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STEATIT,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29.10.2026 2:22:45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