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CC9758" Type="http://schemas.openxmlformats.org/officeDocument/2006/relationships/officeDocument" Target="/word/document.xml" /><Relationship Id="coreR2FCC9758" Type="http://schemas.openxmlformats.org/package/2006/relationships/metadata/core-properties" Target="/docProps/core.xml" /><Relationship Id="customR2FCC97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výrobních podkladech pro výpal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sušení a výpalu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při výpalu keramických výrobků a manipulace s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po výpalu a evidence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29.10.2026 0:02:53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http://katalog.nsp.cz/karta_tp.aspx?id_jp=101580&amp;kod_sm1=35).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U odborné kompetence Orientace v normách a v technických a výrobních podkladech pro výpal keramiky, kritérium b) autorizovaná osoba určí druh výrobku a jeho parametry, ke kterému se bude vztahovat zadaný úkol, podle zaměření konkrétní keramické výroby a místa konání zkoušky.V odborné kompetenci Posuzování kvality keramických výrobků po výpalu a evidence výrobků, kritérium a),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29.10.2026 0:02:53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29.10.2026 0:02:53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