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FAFD60" Type="http://schemas.openxmlformats.org/officeDocument/2006/relationships/officeDocument" Target="/word/document.xml" /><Relationship Id="coreRAFAFD60" Type="http://schemas.openxmlformats.org/package/2006/relationships/metadata/core-properties" Target="/docProps/core.xml" /><Relationship Id="customRAFAFD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pálicích pecí (kód: 28-008-H)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pálicích pecí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výrobních podkladech pro výpal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sušení a výpalu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při výpalu keramických výrobků a manipulace s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keramických výrobků po výpalu a evidence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obsluze pálicích pecí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13.9.2026 16:32:05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https://www.nsp.cz/jednotka-prace/obsluha-palicich-peci#zdravotni-zpusobilost).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výrobních podkladech pro výpal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autorizovaná osoba určí druh výrobku a jeho parametry, ke kterému se bude vztahovat zadaný úkol, podle zaměření konkrétní keramické výroby a místa konání zkoušky.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keramických výrobků po výpalu a evidence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při ověřování kritérií hodnocení je možné, v rámci hospodárného využití času určeného na zkoušku, použít připravený výrobek nebo polotovar.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použití hotového výrobku se bude posuzovat kvalita a soulad s technickou a výrobní dokumentací, případně nedodržení jednotlivých parametrů pro zadaný výrobek. 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také manuální zručnost uchazeče a kvalita provedení.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13.9.2026 16:32:05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13.9.2026 16:32:05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