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E1D427" Type="http://schemas.openxmlformats.org/officeDocument/2006/relationships/officeDocument" Target="/word/document.xml" /><Relationship Id="coreR7CE1D427" Type="http://schemas.openxmlformats.org/package/2006/relationships/metadata/core-properties" Target="/docProps/core.xml" /><Relationship Id="customR7CE1D42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Točíř/točířka keramiky (kód: 28-007-H)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Točíř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keramických výrobků točením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Slučování keramických výrobků za syrova s následnou retuší a čištěním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Sušení a konečná úprava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točírenských strojů a linek při výrobě keramiky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keramických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bezpečnosti práce při výrobě keramiky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Točíř/točířka keramiky, 30.4.2026 11:05:13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313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https://www.nsp.cz/jednotka-prace/tocir-keramiky#zdravotni-zpusobilost).</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druh točírenského výrobku (dílenské točení, průmyslové točení – zatáčení do sádrové formy atd.), ke kterému budou vztaženy zadané úkoly, a jeho parametry, podle zaměření konkrétní keramické výroby a místa konání zkoušky.</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Množství výrobků určí zkoušející podle obtížnosti zadané techniky a druhu výrobku.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v odborné kompetenci </w:t>
      </w:r>
      <w:r>
        <w:rPr>
          <w:rFonts w:ascii="Arial" w:cs="Arial" w:hAnsi="Arial" w:eastAsia="Arial"/>
          <w:b w:val="1"/>
          <w:i w:val="0"/>
          <w:caps w:val="0"/>
          <w:strike w:val="0"/>
          <w:noProof w:val="0"/>
          <w:vanish w:val="0"/>
          <w:color w:val="auto"/>
          <w:sz w:val="20"/>
          <w:u w:val="none"/>
          <w:shd w:val="clear" w:color="auto" w:fill="auto"/>
          <w:vertAlign w:val="baseline"/>
          <w:lang/>
        </w:rPr>
        <w:t>Obsluha točírenských strojů a linek při výrobě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probíhá v reálném provozu nad dokumentací, na pracovních místech u strojů a linek, v rámci modelové situaci, kterou připraví autorizovaná osoba.</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jednu modelovou situaci v návaznosti na technické vybavení, kterým disponuje autorizovaná osoba v místě konání zkoušky.</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ověřování odborných kompetencí je žádoucí, aby uchazeč zadané úkoly vykonával tak, aby bylo zamezeno vzniku finančních ztrát např. poškozením stroje nebo poškozením výrobní linky. Z tohoto důvodu budou některé postupy simulovány nebo některé pracovní úkony bude uchazeč vykonávat na stroji nebo zařízení, které není vchodu nebo bude uchazeč vykonávat pracovní úkony pod dohledem řádné obsluhy nebo bude vykonávat pracovní úkony určené zkoušejícím a ostatní operace popíše nebo vysvětlí zkoušejícímu.</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a), b)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ověření znalostí vad keramiky způsobených nedodržením technologického postupu.</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které je založeno na praktickém předvedení, se klade důraz na dodržování hygienických a bezpečnostních zásad. Je posuzováno hospodárné využití surovin a bezpečné provádění všech úkonů a kvalita provedení. Předmětem hodnocení je také estetická stránka výrobku, kreativita a manuální zručnost uchazeče.</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pStyle w:val="P21"/>
        <w:framePr w:w="7654" w:h="331" w:hRule="exact" w:wrap="none" w:vAnchor="page" w:hAnchor="margin" w:x="28" w:y="15940"/>
        <w:rPr>
          <w:rStyle w:val="C16"/>
          <w:rtl w:val="0"/>
        </w:rPr>
      </w:pPr>
      <w:r>
        <w:rPr>
          <w:rStyle w:val="C16"/>
          <w:rtl w:val="0"/>
        </w:rPr>
        <w:t>Točíř/točířka keramiky, 30.4.2026 11:05:13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Tableware CR, s. r. o.</w:t>
      </w:r>
    </w:p>
    <w:p>
      <w:pPr>
        <w:pStyle w:val="P21"/>
        <w:framePr w:w="7654" w:h="331" w:hRule="exact" w:wrap="none" w:vAnchor="page" w:hAnchor="margin" w:x="28" w:y="15940"/>
        <w:rPr>
          <w:rStyle w:val="C16"/>
          <w:rtl w:val="0"/>
        </w:rPr>
      </w:pPr>
      <w:r>
        <w:rPr>
          <w:rStyle w:val="C16"/>
          <w:rtl w:val="0"/>
        </w:rPr>
        <w:t>Točíř/točířka keramiky, 30.4.2026 11:05:13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