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6F9621" Type="http://schemas.openxmlformats.org/officeDocument/2006/relationships/officeDocument" Target="/word/document.xml" /><Relationship Id="coreR176F9621" Type="http://schemas.openxmlformats.org/package/2006/relationships/metadata/core-properties" Target="/docProps/core.xml" /><Relationship Id="customR176F96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lisů při vytváření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a manipulování s keramickými výrobky v kožovitém i v suchém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29.10.2026 3:02:49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https://www.nsp.cz/jednotka-prace/vyrobce-lisovane-keramiky#zdravotni-zpusobilost).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se budou vztahovat zadané úkoly a jeho parametry, podle zaměření konkrétní keramické výroby a místa konání zkoušky. Množství výrobků určí autorizovaná osoba podle obtížnosti zadané techniky a druhu výrobku.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lisů při vytváření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g)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a manipulování s keramickými výrobky v kožovitém i v suchém stavu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 rámci hospodárného využití času určeného na zkoušku, použít připravený výrobek nebo polotovar.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surovin, kvalita provedení a bezpečné provádění všech úkonů. Předmětem hodnocení je i manuální zručnost zkoušeného.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29.10.2026 3:02:49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29.10.2026 3:02:49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