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A8000" Type="http://schemas.openxmlformats.org/officeDocument/2006/relationships/officeDocument" Target="/word/document.xml" /><Relationship Id="coreR387A8000" Type="http://schemas.openxmlformats.org/package/2006/relationships/metadata/core-properties" Target="/docProps/core.xml" /><Relationship Id="customR387A8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6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https://www.nsp.cz/jednotka-prace/vyrobce-lisovane-keramiky#zdravotni-zpusobilost).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37" w:hRule="exact" w:wrap="none" w:vAnchor="page" w:hAnchor="margin" w:x="0" w:y="8989"/>
        <w:rPr>
          <w:rStyle w:val="C3"/>
          <w:rtl w:val="0"/>
        </w:rPr>
      </w:pPr>
    </w:p>
    <w:p>
      <w:pPr>
        <w:pStyle w:val="P36"/>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1053"/>
        <w:rPr>
          <w:rStyle w:val="C3"/>
          <w:rtl w:val="0"/>
        </w:rPr>
      </w:pPr>
    </w:p>
    <w:p>
      <w:pPr>
        <w:pStyle w:val="P36"/>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5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odborné praxe v oblasti keramické výroby.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lisované keramiky, 30.7.2026 7:27:50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5A39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99D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DD27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