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5A9C6A" Type="http://schemas.openxmlformats.org/officeDocument/2006/relationships/officeDocument" Target="/word/document.xml" /><Relationship Id="coreR505A9C6A" Type="http://schemas.openxmlformats.org/package/2006/relationships/metadata/core-properties" Target="/docProps/core.xml" /><Relationship Id="customR505A9C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Keramik-modelář/keramička-modelářka (kód: 28-002-H)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Keramik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pro zhotovování modelů, modelových forem, rozmnožovacích zařízení a provozních forem keramických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modelů a modelových forem pro keramické výrobky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Zhotovování rozmnožovacích zařízení a provozních forem pro keramické výrobky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posuzování funkčnosti a rozměrů zhotovených modelů a forem pro keramické výrobky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Skladování, manipulace, vedení evidence modelů a forem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Keramik-modelář/keramička-modelářka, 22.9.2026 1:44:41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https://www.nsp.cz/jednotka-prace/keramik-modelar#zdravotni-zpusobilost).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výrobku, jeho model a formu, uvede jejich parametry, ke kterým se budou vztahovat zadané úkoly podle zaměření konkrétní keramické výroby a místa konání zkoušky.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odborných kompetencích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Kontrola a posuzování funkčnosti a rozměrů zhotovených modelů a forem pro keramické výrobk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y, kritérium a), b),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Skladování, manipulace, vedení evidence modelů a forem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při ověřování kritérií hodnocení je možné, v rámci hospodárného využití času určeného na zkoušku, použít připravený výrobek /model a formu/.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použití hotového výrobku /modelu a formy/ se bude posuzovat kvalita a soulad s technickou a výrobní dokumentací, případně nedodržení jednotlivých parametrů.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hodnocení, které je založeno na praktickém předvedení, je kladen důraz na dodržování hygienických a bezpečnostních zásad.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 posuzováno hospodárné využití surovin a bezpečné provádění všech úkonů. Předmětem hodnocení je také estetická stránka výrobku a manuální zručnost uchazeče.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Keramik-modelář/keramička-modelářka, 22.9.2026 1:44:41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s. r. o.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SUPŠ,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Silikátový svaz ČR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Keramik-modelář/keramička-modelářka, 22.9.2026 1:44:41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