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1DA4A" Type="http://schemas.openxmlformats.org/officeDocument/2006/relationships/officeDocument" Target="/word/document.xml" /><Relationship Id="coreRAE1DA4A" Type="http://schemas.openxmlformats.org/package/2006/relationships/metadata/core-properties" Target="/docProps/core.xml" /><Relationship Id="customRAE1DA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 modelář / keramička 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Keramik modelář / keramička modelářka, 27.10.2026 1:17:46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 modelář / keramička modelářka, 27.10.2026 1:17:46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 modelář / keramička modelářka, 27.10.2026 1:17:46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 modelář / keramička modelářka, 27.10.2026 1:17:46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96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keramička-modelářka + střední vzdělání s maturitní zkouškou a alespoň 5 let odborné praxe v oblasti keramické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4"/>
        <w:framePr w:w="10766" w:h="6388" w:hRule="exact" w:wrap="none" w:vAnchor="page" w:hAnchor="margin" w:x="0" w:y="9341"/>
        <w:rPr>
          <w:rStyle w:val="C3"/>
          <w:rtl w:val="0"/>
        </w:rPr>
      </w:pPr>
    </w:p>
    <w:p>
      <w:pPr>
        <w:pStyle w:val="P36"/>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Keramik modelář / keramička modelářka, 27.10.2026 1:17:46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 modelář / keramička modelářka, 27.10.2026 1:17:46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 modelář / keramička modelářka, 27.10.2026 1:17:46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2B5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5C54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72EA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