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2B2F8B" Type="http://schemas.openxmlformats.org/officeDocument/2006/relationships/officeDocument" Target="/word/document.xml" /><Relationship Id="coreR712B2F8B" Type="http://schemas.openxmlformats.org/package/2006/relationships/metadata/core-properties" Target="/docProps/core.xml" /><Relationship Id="customR712B2F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drůbeže a běžců (kód: 41-047-H)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ošetřovatel drůbeže a běžců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 a dezinfekce prostor pro chov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Sběr, ošetření a třídění vajec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dávkování krmiva pro drůbež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Napájení, krmení, třídění a vyskladňování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zdraví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Líhnutí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Orientace v chovu běžců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26.07.2016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27.10.2026 3:48:08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bude uchazeč popisovat části těla jednotlivých druhů drůbeže s využitím perokreseb jednotlivých druhů.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 tomto standardu, kromě poslední, se týkají hrabavé a vodní drůbeže. Poslední kompetence je věnována chovu běžců. 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 s chovem drůbeže. Při práci je třeba hodnotit přístup ke zvířatům a respektování pohody zvířat. Uchazečům jsou zadávány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27.10.2026 3:48:08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licentovaná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Regionální agrární komora Pardubického kraje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drůbeže a běžců, 27.10.2026 3:48:08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